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E6D" w:rsidRDefault="00695E6D" w:rsidP="00695E6D">
      <w:pPr>
        <w:spacing w:before="120" w:after="120"/>
        <w:jc w:val="center"/>
        <w:rPr>
          <w:b/>
          <w:lang w:val="en-US"/>
        </w:rPr>
      </w:pPr>
      <w:bookmarkStart w:id="0" w:name="_GoBack"/>
      <w:bookmarkEnd w:id="0"/>
    </w:p>
    <w:p w:rsidR="005477F5" w:rsidRPr="005477F5" w:rsidRDefault="005477F5" w:rsidP="005477F5">
      <w:pPr>
        <w:spacing w:line="360" w:lineRule="auto"/>
        <w:jc w:val="both"/>
        <w:rPr>
          <w:b/>
          <w:sz w:val="36"/>
          <w:szCs w:val="36"/>
          <w:lang w:val="en-US"/>
        </w:rPr>
      </w:pPr>
      <w:r w:rsidRPr="00D419D5">
        <w:rPr>
          <w:rFonts w:cstheme="minorHAnsi"/>
        </w:rPr>
        <w:t xml:space="preserve">In partnership with the Trinity College School of Law, the BAI is publishing an essay on the topic of EU media regulation prepared by the top student taking the module EU Digital Single Market: Media regulation as part of the </w:t>
      </w:r>
      <w:r w:rsidRPr="005477F5">
        <w:rPr>
          <w:rFonts w:cstheme="minorHAnsi"/>
        </w:rPr>
        <w:t>postgraduate LL.M programme in Trinity College. This initiative is designed to promote public debate about media policy and practice. The 2020 winning essay focuses on</w:t>
      </w:r>
      <w:r>
        <w:rPr>
          <w:rFonts w:cstheme="minorHAnsi"/>
        </w:rPr>
        <w:t xml:space="preserve"> </w:t>
      </w:r>
      <w:r w:rsidRPr="005477F5">
        <w:rPr>
          <w:bCs/>
          <w:lang w:val="en-US"/>
        </w:rPr>
        <w:t xml:space="preserve">the existing rules and initiatives fostering media pluralism in the </w:t>
      </w:r>
      <w:r>
        <w:rPr>
          <w:bCs/>
          <w:lang w:val="en-US"/>
        </w:rPr>
        <w:t>E</w:t>
      </w:r>
      <w:r w:rsidRPr="005477F5">
        <w:rPr>
          <w:bCs/>
          <w:lang w:val="en-US"/>
        </w:rPr>
        <w:t xml:space="preserve">uropean </w:t>
      </w:r>
      <w:r>
        <w:rPr>
          <w:bCs/>
          <w:lang w:val="en-US"/>
        </w:rPr>
        <w:t>U</w:t>
      </w:r>
      <w:r w:rsidRPr="005477F5">
        <w:rPr>
          <w:bCs/>
          <w:lang w:val="en-US"/>
        </w:rPr>
        <w:t>nion</w:t>
      </w:r>
      <w:r>
        <w:rPr>
          <w:bCs/>
          <w:lang w:val="en-US"/>
        </w:rPr>
        <w:t>.</w:t>
      </w:r>
      <w:r w:rsidRPr="005477F5">
        <w:rPr>
          <w:rFonts w:cstheme="minorHAnsi"/>
        </w:rPr>
        <w:t xml:space="preserve"> It was written by </w:t>
      </w:r>
      <w:r w:rsidRPr="005477F5">
        <w:rPr>
          <w:lang w:val="en-US"/>
        </w:rPr>
        <w:t xml:space="preserve">İbrahim </w:t>
      </w:r>
      <w:proofErr w:type="spellStart"/>
      <w:r w:rsidRPr="005477F5">
        <w:rPr>
          <w:lang w:val="en-US"/>
        </w:rPr>
        <w:t>Barış</w:t>
      </w:r>
      <w:proofErr w:type="spellEnd"/>
      <w:r w:rsidRPr="005477F5">
        <w:rPr>
          <w:lang w:val="en-US"/>
        </w:rPr>
        <w:t xml:space="preserve"> </w:t>
      </w:r>
      <w:proofErr w:type="spellStart"/>
      <w:r w:rsidRPr="005477F5">
        <w:rPr>
          <w:lang w:val="en-US"/>
        </w:rPr>
        <w:t>Sayar</w:t>
      </w:r>
      <w:proofErr w:type="spellEnd"/>
      <w:r w:rsidRPr="005477F5">
        <w:rPr>
          <w:rFonts w:cstheme="minorHAnsi"/>
        </w:rPr>
        <w:t xml:space="preserve"> and is</w:t>
      </w:r>
      <w:r w:rsidRPr="00D419D5">
        <w:rPr>
          <w:rFonts w:cstheme="minorHAnsi"/>
        </w:rPr>
        <w:t xml:space="preserve"> edited by Dr Ewa Komorek assistant professor, Trinity College.</w:t>
      </w: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695E6D">
      <w:pPr>
        <w:spacing w:before="120" w:after="120"/>
        <w:jc w:val="center"/>
        <w:rPr>
          <w:b/>
          <w:lang w:val="en-US"/>
        </w:rPr>
      </w:pPr>
    </w:p>
    <w:p w:rsidR="005477F5" w:rsidRDefault="005477F5" w:rsidP="005477F5">
      <w:pPr>
        <w:spacing w:before="120" w:after="120"/>
        <w:rPr>
          <w:b/>
          <w:lang w:val="en-US"/>
        </w:rPr>
      </w:pPr>
    </w:p>
    <w:p w:rsidR="005477F5" w:rsidRDefault="005477F5" w:rsidP="005477F5">
      <w:pPr>
        <w:spacing w:before="120" w:after="120"/>
        <w:rPr>
          <w:b/>
          <w:lang w:val="en-US"/>
        </w:rPr>
      </w:pPr>
    </w:p>
    <w:p w:rsidR="00695E6D" w:rsidRPr="00E87D12" w:rsidRDefault="00695E6D" w:rsidP="00695E6D">
      <w:pPr>
        <w:spacing w:before="120" w:after="120"/>
        <w:jc w:val="center"/>
        <w:rPr>
          <w:b/>
          <w:lang w:val="en-US"/>
        </w:rPr>
      </w:pPr>
      <w:r w:rsidRPr="00E87D12">
        <w:rPr>
          <w:b/>
          <w:lang w:val="en-US"/>
        </w:rPr>
        <w:t xml:space="preserve">İbrahim </w:t>
      </w:r>
      <w:proofErr w:type="spellStart"/>
      <w:r w:rsidRPr="00E87D12">
        <w:rPr>
          <w:b/>
          <w:lang w:val="en-US"/>
        </w:rPr>
        <w:t>Barış</w:t>
      </w:r>
      <w:proofErr w:type="spellEnd"/>
      <w:r w:rsidRPr="00E87D12">
        <w:rPr>
          <w:b/>
          <w:lang w:val="en-US"/>
        </w:rPr>
        <w:t xml:space="preserve"> </w:t>
      </w:r>
      <w:proofErr w:type="spellStart"/>
      <w:r w:rsidRPr="00E87D12">
        <w:rPr>
          <w:b/>
          <w:lang w:val="en-US"/>
        </w:rPr>
        <w:t>Sayar</w:t>
      </w:r>
      <w:proofErr w:type="spellEnd"/>
      <w:r w:rsidRPr="00E87D12">
        <w:rPr>
          <w:b/>
          <w:lang w:val="en-US"/>
        </w:rPr>
        <w:t>, LL.M. (Trinity College Dublin)</w:t>
      </w:r>
    </w:p>
    <w:p w:rsidR="00695E6D" w:rsidRPr="00BE5435" w:rsidRDefault="00695E6D" w:rsidP="00695E6D">
      <w:pPr>
        <w:spacing w:before="120" w:after="120"/>
        <w:jc w:val="center"/>
        <w:rPr>
          <w:lang w:val="en-US"/>
        </w:rPr>
      </w:pPr>
    </w:p>
    <w:p w:rsidR="00695E6D" w:rsidRPr="00BE5435" w:rsidRDefault="00695E6D" w:rsidP="00695E6D">
      <w:pPr>
        <w:spacing w:before="120" w:after="120"/>
        <w:jc w:val="center"/>
        <w:rPr>
          <w:lang w:val="en-US"/>
        </w:rPr>
      </w:pPr>
    </w:p>
    <w:p w:rsidR="00695E6D" w:rsidRPr="00BE5435" w:rsidRDefault="00695E6D" w:rsidP="00695E6D">
      <w:pPr>
        <w:spacing w:before="120" w:after="120" w:line="360" w:lineRule="auto"/>
        <w:jc w:val="center"/>
        <w:rPr>
          <w:b/>
          <w:lang w:val="en-US"/>
        </w:rPr>
      </w:pPr>
    </w:p>
    <w:p w:rsidR="00695E6D" w:rsidRDefault="00695E6D" w:rsidP="00695E6D">
      <w:pPr>
        <w:spacing w:before="120" w:after="120" w:line="360" w:lineRule="auto"/>
        <w:jc w:val="center"/>
        <w:rPr>
          <w:b/>
          <w:lang w:val="en-US"/>
        </w:rPr>
      </w:pPr>
    </w:p>
    <w:p w:rsidR="00695E6D" w:rsidRPr="00BE5435" w:rsidRDefault="00695E6D" w:rsidP="00695E6D">
      <w:pPr>
        <w:spacing w:before="120" w:after="120" w:line="360" w:lineRule="auto"/>
        <w:jc w:val="center"/>
        <w:rPr>
          <w:b/>
          <w:sz w:val="28"/>
          <w:lang w:val="en-US"/>
        </w:rPr>
      </w:pPr>
    </w:p>
    <w:p w:rsidR="00695E6D" w:rsidRPr="00BE5435" w:rsidRDefault="00695E6D" w:rsidP="00695E6D">
      <w:pPr>
        <w:autoSpaceDE w:val="0"/>
        <w:autoSpaceDN w:val="0"/>
        <w:adjustRightInd w:val="0"/>
        <w:jc w:val="center"/>
        <w:rPr>
          <w:b/>
          <w:sz w:val="28"/>
          <w:lang w:val="en-US"/>
        </w:rPr>
      </w:pPr>
    </w:p>
    <w:p w:rsidR="00695E6D" w:rsidRPr="00E87D12" w:rsidRDefault="00695E6D" w:rsidP="00695E6D">
      <w:pPr>
        <w:spacing w:line="360" w:lineRule="auto"/>
        <w:jc w:val="center"/>
        <w:rPr>
          <w:b/>
          <w:sz w:val="36"/>
          <w:szCs w:val="36"/>
          <w:lang w:val="en-US"/>
        </w:rPr>
      </w:pPr>
      <w:r w:rsidRPr="00E87D12">
        <w:rPr>
          <w:b/>
          <w:sz w:val="36"/>
          <w:szCs w:val="36"/>
          <w:lang w:val="en-US"/>
        </w:rPr>
        <w:t xml:space="preserve">A CRITICAL ANALYSIS OF THE EXISTING RULES AND INITIATIVES FOSTERING MEDIA PLURALISM IN THE </w:t>
      </w:r>
      <w:r>
        <w:rPr>
          <w:b/>
          <w:sz w:val="36"/>
          <w:szCs w:val="36"/>
          <w:lang w:val="en-US"/>
        </w:rPr>
        <w:t>EUROPEAN UNION</w:t>
      </w:r>
    </w:p>
    <w:p w:rsidR="00695E6D" w:rsidRPr="00BE5435" w:rsidRDefault="00695E6D" w:rsidP="00695E6D">
      <w:pPr>
        <w:spacing w:line="360" w:lineRule="auto"/>
        <w:jc w:val="center"/>
        <w:rPr>
          <w:b/>
          <w:sz w:val="28"/>
          <w:lang w:val="en-US"/>
        </w:rPr>
      </w:pPr>
    </w:p>
    <w:p w:rsidR="00695E6D" w:rsidRPr="00BE5435" w:rsidRDefault="00695E6D" w:rsidP="00695E6D">
      <w:pPr>
        <w:spacing w:line="360" w:lineRule="auto"/>
        <w:jc w:val="center"/>
        <w:rPr>
          <w:b/>
          <w:sz w:val="28"/>
          <w:lang w:val="en-US"/>
        </w:rPr>
      </w:pPr>
    </w:p>
    <w:p w:rsidR="00695E6D" w:rsidRDefault="00695E6D" w:rsidP="00695E6D">
      <w:pPr>
        <w:spacing w:line="360" w:lineRule="auto"/>
        <w:jc w:val="center"/>
        <w:rPr>
          <w:b/>
          <w:sz w:val="28"/>
          <w:lang w:val="en-US"/>
        </w:rPr>
      </w:pPr>
    </w:p>
    <w:p w:rsidR="00695E6D" w:rsidRPr="00BE5435" w:rsidRDefault="00695E6D" w:rsidP="00695E6D">
      <w:pPr>
        <w:spacing w:line="360" w:lineRule="auto"/>
        <w:jc w:val="center"/>
        <w:rPr>
          <w:b/>
          <w:sz w:val="28"/>
          <w:lang w:val="en-US"/>
        </w:rPr>
      </w:pPr>
    </w:p>
    <w:p w:rsidR="00695E6D" w:rsidRPr="00BE5435" w:rsidRDefault="00695E6D" w:rsidP="00695E6D">
      <w:pPr>
        <w:spacing w:line="360" w:lineRule="auto"/>
        <w:jc w:val="center"/>
        <w:rPr>
          <w:b/>
          <w:sz w:val="28"/>
          <w:lang w:val="en-US"/>
        </w:rPr>
      </w:pPr>
    </w:p>
    <w:p w:rsidR="00695E6D" w:rsidRPr="00E87D12" w:rsidRDefault="00695E6D" w:rsidP="00695E6D">
      <w:pPr>
        <w:spacing w:line="360" w:lineRule="auto"/>
        <w:jc w:val="center"/>
        <w:rPr>
          <w:b/>
          <w:lang w:val="en-US"/>
        </w:rPr>
      </w:pPr>
      <w:r w:rsidRPr="00E87D12">
        <w:rPr>
          <w:b/>
          <w:lang w:val="en-US"/>
        </w:rPr>
        <w:t>Edited by: Dr. Ewa Komorek, assistant professor, Trinity College Dublin</w:t>
      </w:r>
    </w:p>
    <w:p w:rsidR="00695E6D" w:rsidRPr="00BE5435" w:rsidRDefault="00695E6D" w:rsidP="00695E6D">
      <w:pPr>
        <w:spacing w:line="360" w:lineRule="auto"/>
        <w:jc w:val="center"/>
        <w:rPr>
          <w:b/>
          <w:sz w:val="28"/>
          <w:lang w:val="en-US"/>
        </w:rPr>
      </w:pPr>
    </w:p>
    <w:p w:rsidR="00695E6D" w:rsidRPr="00BE5435" w:rsidRDefault="00695E6D" w:rsidP="00695E6D">
      <w:pPr>
        <w:spacing w:line="360" w:lineRule="auto"/>
        <w:jc w:val="center"/>
        <w:rPr>
          <w:b/>
          <w:sz w:val="28"/>
          <w:lang w:val="en-US"/>
        </w:rPr>
      </w:pPr>
    </w:p>
    <w:p w:rsidR="00695E6D" w:rsidRPr="00BE5435" w:rsidRDefault="00695E6D" w:rsidP="00695E6D">
      <w:pPr>
        <w:spacing w:line="360" w:lineRule="auto"/>
        <w:jc w:val="center"/>
        <w:rPr>
          <w:b/>
          <w:sz w:val="28"/>
          <w:lang w:val="en-US"/>
        </w:rPr>
      </w:pPr>
    </w:p>
    <w:p w:rsidR="00695E6D" w:rsidRPr="00BE5435" w:rsidRDefault="00695E6D" w:rsidP="00695E6D">
      <w:pPr>
        <w:spacing w:line="276" w:lineRule="auto"/>
        <w:jc w:val="center"/>
        <w:rPr>
          <w:lang w:val="en-US"/>
        </w:rPr>
      </w:pPr>
    </w:p>
    <w:p w:rsidR="00695E6D" w:rsidRPr="00BE5435" w:rsidRDefault="00695E6D" w:rsidP="00695E6D">
      <w:pPr>
        <w:spacing w:line="276" w:lineRule="auto"/>
        <w:jc w:val="center"/>
        <w:rPr>
          <w:lang w:val="en-US"/>
        </w:rPr>
      </w:pPr>
    </w:p>
    <w:p w:rsidR="00695E6D" w:rsidRPr="00BE5435"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center"/>
        <w:rPr>
          <w:lang w:val="en-US"/>
        </w:rPr>
      </w:pPr>
    </w:p>
    <w:p w:rsidR="00695E6D" w:rsidRDefault="00695E6D" w:rsidP="00695E6D">
      <w:pPr>
        <w:spacing w:line="276" w:lineRule="auto"/>
        <w:jc w:val="both"/>
        <w:rPr>
          <w:lang w:val="en-US"/>
        </w:rPr>
      </w:pPr>
      <w:r>
        <w:rPr>
          <w:lang w:val="en-US"/>
        </w:rPr>
        <w:tab/>
      </w:r>
    </w:p>
    <w:p w:rsidR="005477F5" w:rsidRDefault="005477F5" w:rsidP="00695E6D">
      <w:pPr>
        <w:spacing w:line="276" w:lineRule="auto"/>
        <w:jc w:val="both"/>
        <w:rPr>
          <w:lang w:val="en-US"/>
        </w:rPr>
      </w:pPr>
    </w:p>
    <w:p w:rsidR="005477F5" w:rsidRPr="00695E6D" w:rsidRDefault="005477F5" w:rsidP="00695E6D">
      <w:pPr>
        <w:spacing w:line="276" w:lineRule="auto"/>
        <w:jc w:val="both"/>
        <w:rPr>
          <w:lang w:val="en-US"/>
        </w:rPr>
      </w:pPr>
    </w:p>
    <w:p w:rsidR="005477F5" w:rsidRDefault="005477F5" w:rsidP="00E11E7F">
      <w:pPr>
        <w:spacing w:line="360" w:lineRule="auto"/>
        <w:jc w:val="center"/>
        <w:rPr>
          <w:b/>
          <w:sz w:val="28"/>
          <w:lang w:val="en-US"/>
        </w:rPr>
      </w:pPr>
    </w:p>
    <w:p w:rsidR="00E11E7F" w:rsidRPr="00BE5435" w:rsidRDefault="00E11E7F" w:rsidP="00E11E7F">
      <w:pPr>
        <w:spacing w:line="360" w:lineRule="auto"/>
        <w:jc w:val="center"/>
        <w:rPr>
          <w:b/>
          <w:sz w:val="28"/>
          <w:lang w:val="en-US"/>
        </w:rPr>
      </w:pPr>
      <w:r w:rsidRPr="00BE5435">
        <w:rPr>
          <w:b/>
          <w:sz w:val="28"/>
          <w:lang w:val="en-US"/>
        </w:rPr>
        <w:t>TABLE OF CONTENTS</w:t>
      </w:r>
    </w:p>
    <w:p w:rsidR="002B3F59" w:rsidRDefault="002B3F59" w:rsidP="002B3F59">
      <w:pPr>
        <w:spacing w:line="360" w:lineRule="auto"/>
        <w:jc w:val="center"/>
        <w:rPr>
          <w:b/>
          <w:sz w:val="28"/>
          <w:lang w:val="en-US"/>
        </w:rPr>
      </w:pPr>
    </w:p>
    <w:p w:rsidR="00764525" w:rsidRDefault="00764525" w:rsidP="002B3F59">
      <w:pPr>
        <w:spacing w:line="360" w:lineRule="auto"/>
        <w:jc w:val="center"/>
        <w:rPr>
          <w:b/>
          <w:sz w:val="28"/>
          <w:lang w:val="en-US"/>
        </w:rPr>
      </w:pPr>
    </w:p>
    <w:p w:rsidR="002B3F59" w:rsidRPr="005D2E88" w:rsidRDefault="002B3F59" w:rsidP="002B3F59">
      <w:pPr>
        <w:spacing w:line="276" w:lineRule="auto"/>
        <w:rPr>
          <w:lang w:val="en-US"/>
        </w:rPr>
      </w:pPr>
      <w:r w:rsidRPr="005D2E88">
        <w:rPr>
          <w:lang w:val="en-US"/>
        </w:rPr>
        <w:t>Introduction</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2</w:t>
      </w:r>
    </w:p>
    <w:p w:rsidR="00C01E2E" w:rsidRPr="005D2E88" w:rsidRDefault="00C01E2E" w:rsidP="002B3F59">
      <w:pPr>
        <w:spacing w:line="276" w:lineRule="auto"/>
        <w:rPr>
          <w:lang w:val="en-US"/>
        </w:rPr>
      </w:pPr>
    </w:p>
    <w:p w:rsidR="00C01E2E" w:rsidRPr="005D2E88" w:rsidRDefault="00C01E2E" w:rsidP="00C01E2E">
      <w:pPr>
        <w:jc w:val="both"/>
        <w:rPr>
          <w:lang w:val="en-US"/>
        </w:rPr>
      </w:pPr>
      <w:r w:rsidRPr="005D2E88">
        <w:rPr>
          <w:lang w:val="en-US"/>
        </w:rPr>
        <w:t>A. An Overview of the Endeavor for the Adoption of a Specific Regulation</w:t>
      </w:r>
      <w:r w:rsidRPr="005D2E88">
        <w:rPr>
          <w:lang w:val="en-US"/>
        </w:rPr>
        <w:tab/>
      </w:r>
      <w:r w:rsidRPr="005D2E88">
        <w:rPr>
          <w:lang w:val="en-US"/>
        </w:rPr>
        <w:tab/>
        <w:t xml:space="preserve">       3</w:t>
      </w:r>
    </w:p>
    <w:p w:rsidR="00C01E2E" w:rsidRPr="005D2E88" w:rsidRDefault="00C01E2E" w:rsidP="00C01E2E">
      <w:pPr>
        <w:spacing w:line="276" w:lineRule="auto"/>
        <w:rPr>
          <w:lang w:val="en-US"/>
        </w:rPr>
      </w:pPr>
    </w:p>
    <w:p w:rsidR="00C01E2E" w:rsidRPr="005D2E88" w:rsidRDefault="00C01E2E" w:rsidP="00C01E2E">
      <w:pPr>
        <w:jc w:val="both"/>
        <w:rPr>
          <w:lang w:val="en-US"/>
        </w:rPr>
      </w:pPr>
      <w:r w:rsidRPr="005D2E88">
        <w:rPr>
          <w:lang w:val="en-US"/>
        </w:rPr>
        <w:t>B. Hard-Law Instruments Protecting Media Pluralism</w:t>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w:t>
      </w:r>
      <w:r w:rsidR="005D2E88">
        <w:rPr>
          <w:lang w:val="en-US"/>
        </w:rPr>
        <w:t>6</w:t>
      </w:r>
    </w:p>
    <w:p w:rsidR="00C01E2E" w:rsidRPr="005D2E88" w:rsidRDefault="00C01E2E" w:rsidP="00C01E2E">
      <w:pPr>
        <w:jc w:val="both"/>
        <w:rPr>
          <w:lang w:val="en-US"/>
        </w:rPr>
      </w:pPr>
    </w:p>
    <w:p w:rsidR="00C01E2E" w:rsidRPr="005D2E88" w:rsidRDefault="00C01E2E" w:rsidP="00C01E2E">
      <w:pPr>
        <w:ind w:left="357"/>
        <w:jc w:val="both"/>
        <w:rPr>
          <w:lang w:val="en-US"/>
        </w:rPr>
      </w:pPr>
      <w:r w:rsidRPr="005D2E88">
        <w:rPr>
          <w:lang w:val="en-US"/>
        </w:rPr>
        <w:t>1. Article 11 of the Charter</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w:t>
      </w:r>
      <w:r w:rsidRPr="005D2E88">
        <w:rPr>
          <w:lang w:val="en-US"/>
        </w:rPr>
        <w:tab/>
      </w:r>
      <w:r w:rsidRPr="005D2E88">
        <w:rPr>
          <w:lang w:val="en-US"/>
        </w:rPr>
        <w:tab/>
        <w:t xml:space="preserve">       </w:t>
      </w:r>
      <w:r w:rsidR="005D2E88">
        <w:rPr>
          <w:lang w:val="en-US"/>
        </w:rPr>
        <w:t>6</w:t>
      </w:r>
    </w:p>
    <w:p w:rsidR="00C01E2E" w:rsidRPr="005D2E88" w:rsidRDefault="00C01E2E" w:rsidP="00C01E2E">
      <w:pPr>
        <w:ind w:left="357"/>
        <w:jc w:val="both"/>
        <w:rPr>
          <w:lang w:val="en-US"/>
        </w:rPr>
      </w:pPr>
    </w:p>
    <w:p w:rsidR="00C01E2E" w:rsidRPr="005D2E88" w:rsidRDefault="00C01E2E" w:rsidP="00C01E2E">
      <w:pPr>
        <w:ind w:left="357"/>
        <w:jc w:val="both"/>
        <w:rPr>
          <w:lang w:val="en-US"/>
        </w:rPr>
      </w:pPr>
      <w:r w:rsidRPr="005D2E88">
        <w:rPr>
          <w:lang w:val="en-US"/>
        </w:rPr>
        <w:t xml:space="preserve">2. The Role of </w:t>
      </w:r>
      <w:r w:rsidR="00764525">
        <w:rPr>
          <w:lang w:val="en-US"/>
        </w:rPr>
        <w:t xml:space="preserve">the </w:t>
      </w:r>
      <w:r w:rsidRPr="005D2E88">
        <w:rPr>
          <w:lang w:val="en-US"/>
        </w:rPr>
        <w:t xml:space="preserve">Competition Law in </w:t>
      </w:r>
      <w:r w:rsidR="00F8057B" w:rsidRPr="005D2E88">
        <w:rPr>
          <w:lang w:val="en-US"/>
        </w:rPr>
        <w:t>Promoting</w:t>
      </w:r>
      <w:r w:rsidRPr="005D2E88">
        <w:rPr>
          <w:lang w:val="en-US"/>
        </w:rPr>
        <w:t xml:space="preserve"> Media Pluralism</w:t>
      </w:r>
      <w:r w:rsidRPr="005D2E88">
        <w:rPr>
          <w:lang w:val="en-US"/>
        </w:rPr>
        <w:tab/>
      </w:r>
      <w:r w:rsidRPr="005D2E88">
        <w:rPr>
          <w:lang w:val="en-US"/>
        </w:rPr>
        <w:tab/>
      </w:r>
      <w:r w:rsidR="00F8057B" w:rsidRPr="005D2E88">
        <w:rPr>
          <w:lang w:val="en-US"/>
        </w:rPr>
        <w:t xml:space="preserve">    </w:t>
      </w:r>
      <w:r w:rsidRPr="005D2E88">
        <w:rPr>
          <w:lang w:val="en-US"/>
        </w:rPr>
        <w:t xml:space="preserve">               </w:t>
      </w:r>
      <w:r w:rsidR="005D2E88">
        <w:rPr>
          <w:lang w:val="en-US"/>
        </w:rPr>
        <w:t>6</w:t>
      </w:r>
      <w:r w:rsidRPr="005D2E88">
        <w:rPr>
          <w:lang w:val="en-US"/>
        </w:rPr>
        <w:t xml:space="preserve"> </w:t>
      </w:r>
    </w:p>
    <w:p w:rsidR="00C01E2E" w:rsidRPr="005D2E88" w:rsidRDefault="00C01E2E" w:rsidP="00C01E2E">
      <w:pPr>
        <w:ind w:left="357"/>
        <w:jc w:val="both"/>
        <w:rPr>
          <w:lang w:val="en-US"/>
        </w:rPr>
      </w:pPr>
    </w:p>
    <w:p w:rsidR="00C01E2E" w:rsidRPr="005D2E88" w:rsidRDefault="00C01E2E" w:rsidP="00C01E2E">
      <w:pPr>
        <w:ind w:left="357"/>
        <w:jc w:val="both"/>
        <w:rPr>
          <w:lang w:val="en-US"/>
        </w:rPr>
      </w:pPr>
      <w:r w:rsidRPr="005D2E88">
        <w:rPr>
          <w:lang w:val="en-US"/>
        </w:rPr>
        <w:t xml:space="preserve">3. Rules </w:t>
      </w:r>
      <w:r w:rsidR="00F8057B" w:rsidRPr="005D2E88">
        <w:rPr>
          <w:lang w:val="en-US"/>
        </w:rPr>
        <w:t>Upholding</w:t>
      </w:r>
      <w:r w:rsidRPr="005D2E88">
        <w:rPr>
          <w:lang w:val="en-US"/>
        </w:rPr>
        <w:t xml:space="preserve"> Media Pluralism under the AVMSD</w:t>
      </w:r>
      <w:r w:rsidRPr="005D2E88">
        <w:rPr>
          <w:lang w:val="en-US"/>
        </w:rPr>
        <w:tab/>
      </w:r>
      <w:r w:rsidRPr="005D2E88">
        <w:rPr>
          <w:lang w:val="en-US"/>
        </w:rPr>
        <w:tab/>
      </w:r>
      <w:r w:rsidRPr="005D2E88">
        <w:rPr>
          <w:lang w:val="en-US"/>
        </w:rPr>
        <w:tab/>
        <w:t xml:space="preserve">            </w:t>
      </w:r>
      <w:r w:rsidR="00E2706D">
        <w:rPr>
          <w:lang w:val="en-US"/>
        </w:rPr>
        <w:t xml:space="preserve">  </w:t>
      </w:r>
      <w:r w:rsidRPr="005D2E88">
        <w:rPr>
          <w:lang w:val="en-US"/>
        </w:rPr>
        <w:t xml:space="preserve">     </w:t>
      </w:r>
      <w:r w:rsidR="00E2706D">
        <w:rPr>
          <w:lang w:val="en-US"/>
        </w:rPr>
        <w:t>9</w:t>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w:t>
      </w:r>
    </w:p>
    <w:p w:rsidR="00C01E2E" w:rsidRPr="005D2E88" w:rsidRDefault="00C01E2E" w:rsidP="00C01E2E">
      <w:pPr>
        <w:jc w:val="both"/>
        <w:rPr>
          <w:lang w:val="en-US"/>
        </w:rPr>
      </w:pPr>
      <w:r w:rsidRPr="005D2E88">
        <w:rPr>
          <w:lang w:val="en-US"/>
        </w:rPr>
        <w:t>C. Soft-Law Instruments Fostering Media Pluralism</w:t>
      </w:r>
      <w:r w:rsidRPr="005D2E88">
        <w:rPr>
          <w:lang w:val="en-US"/>
        </w:rPr>
        <w:tab/>
      </w:r>
      <w:r w:rsidRPr="005D2E88">
        <w:rPr>
          <w:lang w:val="en-US"/>
        </w:rPr>
        <w:tab/>
      </w:r>
      <w:r w:rsidRPr="005D2E88">
        <w:rPr>
          <w:lang w:val="en-US"/>
        </w:rPr>
        <w:tab/>
        <w:t xml:space="preserve">          </w:t>
      </w:r>
      <w:r w:rsidRPr="005D2E88">
        <w:rPr>
          <w:lang w:val="en-US"/>
        </w:rPr>
        <w:tab/>
        <w:t xml:space="preserve">                 1</w:t>
      </w:r>
      <w:r w:rsidR="00E2706D">
        <w:rPr>
          <w:lang w:val="en-US"/>
        </w:rPr>
        <w:t>1</w:t>
      </w:r>
    </w:p>
    <w:p w:rsidR="00C01E2E" w:rsidRPr="005D2E88" w:rsidRDefault="00C01E2E" w:rsidP="00C01E2E">
      <w:pPr>
        <w:jc w:val="both"/>
        <w:rPr>
          <w:lang w:val="en-US"/>
        </w:rPr>
      </w:pPr>
    </w:p>
    <w:p w:rsidR="00C01E2E" w:rsidRPr="005D2E88" w:rsidRDefault="00C01E2E" w:rsidP="00C01E2E">
      <w:pPr>
        <w:ind w:left="357"/>
        <w:jc w:val="both"/>
        <w:rPr>
          <w:lang w:val="en-US"/>
        </w:rPr>
      </w:pPr>
      <w:r w:rsidRPr="005D2E88">
        <w:rPr>
          <w:lang w:val="en-US"/>
        </w:rPr>
        <w:t>1. The Media Pluralism Monitor</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1</w:t>
      </w:r>
      <w:r w:rsidR="00E2706D">
        <w:rPr>
          <w:lang w:val="en-US"/>
        </w:rPr>
        <w:t>1</w:t>
      </w:r>
    </w:p>
    <w:p w:rsidR="00C01E2E" w:rsidRPr="005D2E88" w:rsidRDefault="00C01E2E" w:rsidP="00C01E2E">
      <w:pPr>
        <w:ind w:left="357"/>
        <w:jc w:val="both"/>
        <w:rPr>
          <w:lang w:val="en-US"/>
        </w:rPr>
      </w:pPr>
    </w:p>
    <w:p w:rsidR="00C01E2E" w:rsidRPr="005D2E88" w:rsidRDefault="00C01E2E" w:rsidP="00C01E2E">
      <w:pPr>
        <w:ind w:left="357"/>
        <w:jc w:val="both"/>
        <w:rPr>
          <w:lang w:val="en-US"/>
        </w:rPr>
      </w:pPr>
      <w:r w:rsidRPr="005D2E88">
        <w:rPr>
          <w:lang w:val="en-US"/>
        </w:rPr>
        <w:t>2. European Media Initiative</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1</w:t>
      </w:r>
      <w:r w:rsidR="00E2706D">
        <w:rPr>
          <w:lang w:val="en-US"/>
        </w:rPr>
        <w:t>3</w:t>
      </w:r>
    </w:p>
    <w:p w:rsidR="00C01E2E" w:rsidRPr="005D2E88" w:rsidRDefault="00C01E2E" w:rsidP="00C01E2E">
      <w:pPr>
        <w:ind w:left="357"/>
        <w:jc w:val="both"/>
        <w:rPr>
          <w:lang w:val="en-US"/>
        </w:rPr>
      </w:pPr>
    </w:p>
    <w:p w:rsidR="00C01E2E" w:rsidRPr="005D2E88" w:rsidRDefault="00C01E2E" w:rsidP="00C01E2E">
      <w:pPr>
        <w:ind w:left="357"/>
        <w:jc w:val="both"/>
        <w:rPr>
          <w:lang w:val="en-US"/>
        </w:rPr>
      </w:pPr>
      <w:r w:rsidRPr="005D2E88">
        <w:rPr>
          <w:lang w:val="en-US"/>
        </w:rPr>
        <w:t>3. Latest Developments at the EU Level</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1</w:t>
      </w:r>
      <w:r w:rsidR="00E2706D">
        <w:rPr>
          <w:lang w:val="en-US"/>
        </w:rPr>
        <w:t>4</w:t>
      </w:r>
    </w:p>
    <w:p w:rsidR="002B3F59" w:rsidRPr="005D2E88" w:rsidRDefault="002B3F59" w:rsidP="002B3F59">
      <w:pPr>
        <w:spacing w:line="276" w:lineRule="auto"/>
        <w:rPr>
          <w:lang w:val="en-US"/>
        </w:rPr>
      </w:pPr>
    </w:p>
    <w:p w:rsidR="002B3F59" w:rsidRPr="005D2E88" w:rsidRDefault="002B3F59" w:rsidP="002B3F59">
      <w:pPr>
        <w:spacing w:line="276" w:lineRule="auto"/>
        <w:rPr>
          <w:lang w:val="en-US"/>
        </w:rPr>
      </w:pPr>
      <w:r w:rsidRPr="005D2E88">
        <w:rPr>
          <w:lang w:val="en-US"/>
        </w:rPr>
        <w:t>Conclusion</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1</w:t>
      </w:r>
      <w:r w:rsidR="006F63C0">
        <w:rPr>
          <w:lang w:val="en-US"/>
        </w:rPr>
        <w:t>6</w:t>
      </w:r>
    </w:p>
    <w:p w:rsidR="002B3F59" w:rsidRPr="005D2E88" w:rsidRDefault="002B3F59" w:rsidP="002B3F59">
      <w:pPr>
        <w:spacing w:line="276" w:lineRule="auto"/>
        <w:rPr>
          <w:lang w:val="en-US"/>
        </w:rPr>
      </w:pPr>
    </w:p>
    <w:p w:rsidR="002B3F59" w:rsidRDefault="002B3F59" w:rsidP="002B3F59">
      <w:pPr>
        <w:spacing w:line="276" w:lineRule="auto"/>
        <w:rPr>
          <w:lang w:val="en-US"/>
        </w:rPr>
      </w:pPr>
      <w:r w:rsidRPr="005D2E88">
        <w:rPr>
          <w:lang w:val="en-US"/>
        </w:rPr>
        <w:t>Bibliography</w:t>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r>
      <w:r w:rsidRPr="005D2E88">
        <w:rPr>
          <w:lang w:val="en-US"/>
        </w:rPr>
        <w:tab/>
        <w:t xml:space="preserve">                 1</w:t>
      </w:r>
      <w:r w:rsidR="006F63C0">
        <w:rPr>
          <w:lang w:val="en-US"/>
        </w:rPr>
        <w:t>8</w:t>
      </w:r>
    </w:p>
    <w:p w:rsidR="00E11E7F" w:rsidRPr="00BE5435" w:rsidRDefault="00E11E7F" w:rsidP="00E11E7F">
      <w:pPr>
        <w:rPr>
          <w:lang w:val="en-US"/>
        </w:rPr>
      </w:pPr>
    </w:p>
    <w:p w:rsidR="00E11E7F" w:rsidRDefault="00E11E7F" w:rsidP="00E11E7F">
      <w:pPr>
        <w:rPr>
          <w:lang w:val="en-US"/>
        </w:rPr>
      </w:pPr>
    </w:p>
    <w:p w:rsidR="002B3F59" w:rsidRDefault="002B3F59"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E40FED" w:rsidRDefault="00E40FED" w:rsidP="00E11E7F">
      <w:pPr>
        <w:rPr>
          <w:lang w:val="en-US"/>
        </w:rPr>
      </w:pPr>
    </w:p>
    <w:p w:rsidR="0071081E" w:rsidRDefault="0071081E" w:rsidP="00E11E7F">
      <w:pPr>
        <w:jc w:val="center"/>
        <w:rPr>
          <w:lang w:val="en-US"/>
        </w:rPr>
      </w:pPr>
    </w:p>
    <w:p w:rsidR="00651FBA" w:rsidRDefault="00651FBA" w:rsidP="00E11E7F">
      <w:pPr>
        <w:jc w:val="center"/>
        <w:rPr>
          <w:b/>
          <w:lang w:val="en-US"/>
        </w:rPr>
      </w:pPr>
    </w:p>
    <w:p w:rsidR="002B3F59" w:rsidRPr="006A4AB1" w:rsidRDefault="00E11E7F" w:rsidP="006A4AB1">
      <w:pPr>
        <w:jc w:val="center"/>
        <w:rPr>
          <w:b/>
          <w:lang w:val="en-US"/>
        </w:rPr>
      </w:pPr>
      <w:r w:rsidRPr="00BE5435">
        <w:rPr>
          <w:b/>
          <w:lang w:val="en-US"/>
        </w:rPr>
        <w:t>INTRODUCTION</w:t>
      </w:r>
    </w:p>
    <w:p w:rsidR="00727DB4" w:rsidRDefault="00727DB4" w:rsidP="00D52CAC">
      <w:pPr>
        <w:spacing w:line="360" w:lineRule="auto"/>
        <w:jc w:val="both"/>
        <w:rPr>
          <w:lang w:val="en-US"/>
        </w:rPr>
      </w:pPr>
    </w:p>
    <w:p w:rsidR="00DB37D0" w:rsidRDefault="006A4AB1" w:rsidP="00DB37D0">
      <w:pPr>
        <w:spacing w:line="360" w:lineRule="auto"/>
        <w:jc w:val="both"/>
        <w:rPr>
          <w:lang w:val="en-US"/>
        </w:rPr>
      </w:pPr>
      <w:r>
        <w:rPr>
          <w:lang w:val="en-US"/>
        </w:rPr>
        <w:lastRenderedPageBreak/>
        <w:tab/>
      </w:r>
      <w:r w:rsidR="0047078E">
        <w:rPr>
          <w:lang w:val="en-US"/>
        </w:rPr>
        <w:t xml:space="preserve">It was in 1787 that </w:t>
      </w:r>
      <w:r w:rsidR="0047078E" w:rsidRPr="009F6F0B">
        <w:rPr>
          <w:lang w:val="en-US"/>
        </w:rPr>
        <w:t>Edmund Burke</w:t>
      </w:r>
      <w:r w:rsidR="0047078E">
        <w:rPr>
          <w:lang w:val="en-US"/>
        </w:rPr>
        <w:t xml:space="preserve">, the well-known Irish philosopher, described </w:t>
      </w:r>
      <w:r w:rsidR="00A37284">
        <w:rPr>
          <w:lang w:val="en-US"/>
        </w:rPr>
        <w:t xml:space="preserve">the </w:t>
      </w:r>
      <w:r w:rsidR="0047078E">
        <w:rPr>
          <w:lang w:val="en-US"/>
        </w:rPr>
        <w:t>press as the fourth estate.</w:t>
      </w:r>
      <w:r w:rsidR="0047078E">
        <w:rPr>
          <w:rStyle w:val="FootnoteReference"/>
          <w:lang w:val="en-US"/>
        </w:rPr>
        <w:footnoteReference w:id="1"/>
      </w:r>
      <w:r w:rsidR="0047078E">
        <w:rPr>
          <w:lang w:val="en-US"/>
        </w:rPr>
        <w:t xml:space="preserve"> After more than two centuries, today’s media plays a critical role </w:t>
      </w:r>
      <w:r w:rsidR="00A37284">
        <w:rPr>
          <w:lang w:val="en-US"/>
        </w:rPr>
        <w:t xml:space="preserve">in </w:t>
      </w:r>
      <w:r w:rsidR="0047078E">
        <w:rPr>
          <w:lang w:val="en-US"/>
        </w:rPr>
        <w:t>informing individuals, shaping public opinion</w:t>
      </w:r>
      <w:r w:rsidR="00A37284">
        <w:rPr>
          <w:lang w:val="en-US"/>
        </w:rPr>
        <w:t>,</w:t>
      </w:r>
      <w:r w:rsidR="0047078E">
        <w:rPr>
          <w:lang w:val="en-US"/>
        </w:rPr>
        <w:t xml:space="preserve"> and watching over practices of the legislative, executive</w:t>
      </w:r>
      <w:r w:rsidR="00A37284">
        <w:rPr>
          <w:lang w:val="en-US"/>
        </w:rPr>
        <w:t>,</w:t>
      </w:r>
      <w:r w:rsidR="0047078E">
        <w:rPr>
          <w:lang w:val="en-US"/>
        </w:rPr>
        <w:t xml:space="preserve"> and judicial powers of the state.</w:t>
      </w:r>
      <w:r w:rsidR="008F10F0">
        <w:rPr>
          <w:rStyle w:val="FootnoteReference"/>
          <w:lang w:val="en-US"/>
        </w:rPr>
        <w:footnoteReference w:id="2"/>
      </w:r>
      <w:r w:rsidR="0047078E">
        <w:rPr>
          <w:lang w:val="en-US"/>
        </w:rPr>
        <w:t xml:space="preserve"> In this </w:t>
      </w:r>
      <w:r w:rsidR="00AA1F1A">
        <w:rPr>
          <w:lang w:val="en-US"/>
        </w:rPr>
        <w:t>respect</w:t>
      </w:r>
      <w:r w:rsidR="0047078E">
        <w:rPr>
          <w:lang w:val="en-US"/>
        </w:rPr>
        <w:t>, media freedom and pluralism have been treated as among the pillars of European democracy</w:t>
      </w:r>
      <w:r w:rsidR="0047078E">
        <w:rPr>
          <w:rStyle w:val="FootnoteReference"/>
          <w:lang w:val="en-US"/>
        </w:rPr>
        <w:footnoteReference w:id="3"/>
      </w:r>
      <w:r w:rsidR="0047078E">
        <w:rPr>
          <w:lang w:val="en-US"/>
        </w:rPr>
        <w:t xml:space="preserve"> since they are integral parts of the right to freedom of expression and information (FoEI). </w:t>
      </w:r>
      <w:r w:rsidR="00A37284">
        <w:rPr>
          <w:lang w:val="en-US"/>
        </w:rPr>
        <w:t>In t</w:t>
      </w:r>
      <w:r w:rsidR="00DB37D0">
        <w:rPr>
          <w:lang w:val="en-US"/>
        </w:rPr>
        <w:t>he absence of a free and diverse media</w:t>
      </w:r>
      <w:r w:rsidR="00A37284">
        <w:rPr>
          <w:lang w:val="en-US"/>
        </w:rPr>
        <w:t>, the right to FoEI of individuals will diminish, the public debate will not flourish</w:t>
      </w:r>
      <w:r w:rsidR="009F6F0B">
        <w:rPr>
          <w:lang w:val="en-US"/>
        </w:rPr>
        <w:t>,</w:t>
      </w:r>
      <w:r w:rsidR="00A37284">
        <w:rPr>
          <w:lang w:val="en-US"/>
        </w:rPr>
        <w:t xml:space="preserve"> and the democracy will not function. </w:t>
      </w:r>
      <w:r w:rsidR="00DB37D0" w:rsidRPr="009F6F0B">
        <w:rPr>
          <w:lang w:val="en-US"/>
        </w:rPr>
        <w:t>Arendt</w:t>
      </w:r>
      <w:r w:rsidR="00DB37D0">
        <w:rPr>
          <w:lang w:val="en-US"/>
        </w:rPr>
        <w:t>, the leading political theorist of the 20</w:t>
      </w:r>
      <w:r w:rsidR="00DB37D0" w:rsidRPr="009B2BB8">
        <w:rPr>
          <w:vertAlign w:val="superscript"/>
          <w:lang w:val="en-US"/>
        </w:rPr>
        <w:t>th</w:t>
      </w:r>
      <w:r w:rsidR="00DB37D0">
        <w:rPr>
          <w:lang w:val="en-US"/>
        </w:rPr>
        <w:t xml:space="preserve"> century, has underlined that:  </w:t>
      </w:r>
    </w:p>
    <w:p w:rsidR="00DB37D0" w:rsidRDefault="00DB37D0" w:rsidP="00DB37D0">
      <w:pPr>
        <w:spacing w:line="360" w:lineRule="auto"/>
        <w:jc w:val="both"/>
        <w:rPr>
          <w:lang w:val="en-US"/>
        </w:rPr>
      </w:pPr>
    </w:p>
    <w:p w:rsidR="00DB37D0" w:rsidRDefault="00DB37D0" w:rsidP="0047078E">
      <w:pPr>
        <w:spacing w:line="360" w:lineRule="auto"/>
        <w:jc w:val="both"/>
        <w:rPr>
          <w:lang w:val="en-US"/>
        </w:rPr>
      </w:pPr>
      <w:r>
        <w:rPr>
          <w:lang w:val="en-US"/>
        </w:rPr>
        <w:tab/>
        <w:t xml:space="preserve">“(…) The moment the press is no longer free, or when the press is forced to reveal its </w:t>
      </w:r>
      <w:r>
        <w:rPr>
          <w:lang w:val="en-US"/>
        </w:rPr>
        <w:tab/>
        <w:t xml:space="preserve">sources, then anything can happen. What really makes it possible for a totalitarian or </w:t>
      </w:r>
      <w:r>
        <w:rPr>
          <w:lang w:val="en-US"/>
        </w:rPr>
        <w:tab/>
        <w:t xml:space="preserve">any other kind of dictatorship to rule is that the people are not informed. How can </w:t>
      </w:r>
      <w:r>
        <w:rPr>
          <w:lang w:val="en-US"/>
        </w:rPr>
        <w:tab/>
        <w:t>anyone have an opinion who is not informed?”</w:t>
      </w:r>
      <w:r>
        <w:rPr>
          <w:rStyle w:val="FootnoteReference"/>
          <w:lang w:val="en-US"/>
        </w:rPr>
        <w:footnoteReference w:id="4"/>
      </w:r>
    </w:p>
    <w:p w:rsidR="0047078E" w:rsidRDefault="0047078E" w:rsidP="0047078E">
      <w:pPr>
        <w:spacing w:line="360" w:lineRule="auto"/>
        <w:jc w:val="both"/>
        <w:rPr>
          <w:lang w:val="en-US"/>
        </w:rPr>
      </w:pPr>
    </w:p>
    <w:p w:rsidR="00DD1D37" w:rsidRDefault="0047078E" w:rsidP="00DD1D37">
      <w:pPr>
        <w:spacing w:line="360" w:lineRule="auto"/>
        <w:jc w:val="both"/>
        <w:rPr>
          <w:lang w:val="en-US"/>
        </w:rPr>
      </w:pPr>
      <w:r>
        <w:rPr>
          <w:lang w:val="en-US"/>
        </w:rPr>
        <w:tab/>
      </w:r>
      <w:r w:rsidR="00DF260F">
        <w:rPr>
          <w:lang w:val="en-US"/>
        </w:rPr>
        <w:t>While media freedom refers to its independence from public and private control and intervention, media pluralism is related to its diversity.</w:t>
      </w:r>
      <w:r w:rsidR="008306E4">
        <w:rPr>
          <w:lang w:val="en-US"/>
        </w:rPr>
        <w:t xml:space="preserve"> Unlike media freedom, the latter is not a right but a policy, consisting of various aspects such as diversity of media ownership, sources of information, types of media as well as content available to the public.</w:t>
      </w:r>
      <w:r w:rsidR="008306E4">
        <w:rPr>
          <w:rStyle w:val="FootnoteReference"/>
          <w:lang w:val="en-US"/>
        </w:rPr>
        <w:footnoteReference w:id="5"/>
      </w:r>
      <w:r w:rsidR="00DD1D37">
        <w:rPr>
          <w:lang w:val="en-US"/>
        </w:rPr>
        <w:t xml:space="preserve"> </w:t>
      </w:r>
      <w:r w:rsidR="006729FF">
        <w:rPr>
          <w:lang w:val="en-US"/>
        </w:rPr>
        <w:t>Hence, t</w:t>
      </w:r>
      <w:r w:rsidR="00DD1D37">
        <w:rPr>
          <w:lang w:val="en-US"/>
        </w:rPr>
        <w:t xml:space="preserve">here are two </w:t>
      </w:r>
      <w:r w:rsidR="006729FF">
        <w:rPr>
          <w:lang w:val="en-US"/>
        </w:rPr>
        <w:t xml:space="preserve">main </w:t>
      </w:r>
      <w:r w:rsidR="00DD1D37">
        <w:rPr>
          <w:lang w:val="en-US"/>
        </w:rPr>
        <w:t>aspects of media pluralism</w:t>
      </w:r>
      <w:r w:rsidR="005F4C2E">
        <w:rPr>
          <w:lang w:val="en-US"/>
        </w:rPr>
        <w:t xml:space="preserve">: </w:t>
      </w:r>
      <w:r w:rsidR="0055717D">
        <w:rPr>
          <w:lang w:val="en-US"/>
        </w:rPr>
        <w:t>T</w:t>
      </w:r>
      <w:r w:rsidR="00AA0DE7">
        <w:rPr>
          <w:lang w:val="en-US"/>
        </w:rPr>
        <w:t xml:space="preserve">he </w:t>
      </w:r>
      <w:r w:rsidR="00DD1D37">
        <w:rPr>
          <w:lang w:val="en-US"/>
        </w:rPr>
        <w:t xml:space="preserve">external aspect which refers to the structural diversity of media entities and types and </w:t>
      </w:r>
      <w:r w:rsidR="00AA0DE7">
        <w:rPr>
          <w:lang w:val="en-US"/>
        </w:rPr>
        <w:t xml:space="preserve">the </w:t>
      </w:r>
      <w:r w:rsidR="00DD1D37">
        <w:rPr>
          <w:lang w:val="en-US"/>
        </w:rPr>
        <w:t>internal aspect which points out the diversity of the media content.</w:t>
      </w:r>
      <w:r w:rsidR="00DD1D37">
        <w:rPr>
          <w:rStyle w:val="FootnoteReference"/>
          <w:lang w:val="en-US"/>
        </w:rPr>
        <w:footnoteReference w:id="6"/>
      </w:r>
    </w:p>
    <w:p w:rsidR="00FE6819" w:rsidRDefault="00FE6819" w:rsidP="00D52CAC">
      <w:pPr>
        <w:spacing w:line="360" w:lineRule="auto"/>
        <w:jc w:val="both"/>
        <w:rPr>
          <w:lang w:val="en-US"/>
        </w:rPr>
      </w:pPr>
    </w:p>
    <w:p w:rsidR="0025556F" w:rsidRDefault="00F64F7F" w:rsidP="00D52CAC">
      <w:pPr>
        <w:spacing w:line="360" w:lineRule="auto"/>
        <w:jc w:val="both"/>
        <w:rPr>
          <w:rFonts w:asciiTheme="majorHAnsi" w:hAnsiTheme="majorHAnsi" w:cstheme="majorHAnsi"/>
          <w:lang w:val="en-US"/>
        </w:rPr>
      </w:pPr>
      <w:r>
        <w:rPr>
          <w:lang w:val="en-US"/>
        </w:rPr>
        <w:tab/>
        <w:t xml:space="preserve">This study will focus on the existing rules and initiatives </w:t>
      </w:r>
      <w:r w:rsidR="000A24F2">
        <w:rPr>
          <w:lang w:val="en-US"/>
        </w:rPr>
        <w:t xml:space="preserve">promoting media pluralism </w:t>
      </w:r>
      <w:r>
        <w:rPr>
          <w:lang w:val="en-US"/>
        </w:rPr>
        <w:t xml:space="preserve">at the European Union (EU) level. </w:t>
      </w:r>
      <w:r w:rsidR="0025556F">
        <w:rPr>
          <w:lang w:val="en-US"/>
        </w:rPr>
        <w:t>T</w:t>
      </w:r>
      <w:r>
        <w:rPr>
          <w:lang w:val="en-US"/>
        </w:rPr>
        <w:t xml:space="preserve">he lack of a concrete Treaty basis for direct </w:t>
      </w:r>
      <w:r w:rsidR="00E40FED">
        <w:rPr>
          <w:lang w:val="en-US"/>
        </w:rPr>
        <w:t>legislation</w:t>
      </w:r>
      <w:r>
        <w:rPr>
          <w:lang w:val="en-US"/>
        </w:rPr>
        <w:t xml:space="preserve"> on media pluralism compels the EU to </w:t>
      </w:r>
      <w:r w:rsidR="006729FF">
        <w:rPr>
          <w:lang w:val="en-US"/>
        </w:rPr>
        <w:t xml:space="preserve">mostly </w:t>
      </w:r>
      <w:r>
        <w:rPr>
          <w:lang w:val="en-US"/>
        </w:rPr>
        <w:t xml:space="preserve">rely on soft-law instruments </w:t>
      </w:r>
      <w:r w:rsidR="006729FF">
        <w:rPr>
          <w:lang w:val="en-US"/>
        </w:rPr>
        <w:t xml:space="preserve">along with a number </w:t>
      </w:r>
      <w:r w:rsidR="006729FF">
        <w:rPr>
          <w:lang w:val="en-US"/>
        </w:rPr>
        <w:lastRenderedPageBreak/>
        <w:t xml:space="preserve">of hard-law </w:t>
      </w:r>
      <w:r w:rsidR="00104C96">
        <w:rPr>
          <w:lang w:val="en-US"/>
        </w:rPr>
        <w:t>instruments to</w:t>
      </w:r>
      <w:r>
        <w:rPr>
          <w:lang w:val="en-US"/>
        </w:rPr>
        <w:t xml:space="preserve"> tackle threats to such.</w:t>
      </w:r>
      <w:r>
        <w:rPr>
          <w:rStyle w:val="FootnoteReference"/>
          <w:lang w:val="en-US"/>
        </w:rPr>
        <w:footnoteReference w:id="7"/>
      </w:r>
      <w:r>
        <w:rPr>
          <w:lang w:val="en-US"/>
        </w:rPr>
        <w:t xml:space="preserve"> </w:t>
      </w:r>
      <w:r w:rsidR="0025556F">
        <w:rPr>
          <w:lang w:val="en-US"/>
        </w:rPr>
        <w:t xml:space="preserve">While the competition law is the strongest </w:t>
      </w:r>
      <w:r w:rsidR="00104C96">
        <w:rPr>
          <w:lang w:val="en-US"/>
        </w:rPr>
        <w:t xml:space="preserve">hard-law </w:t>
      </w:r>
      <w:r w:rsidR="0025556F">
        <w:rPr>
          <w:lang w:val="en-US"/>
        </w:rPr>
        <w:t xml:space="preserve">instrument to reduce concentration in the media sector, its contribution is indirect and there are doubts that its application </w:t>
      </w:r>
      <w:r w:rsidR="0025556F" w:rsidRPr="0025556F">
        <w:rPr>
          <w:i/>
          <w:lang w:val="en-US"/>
        </w:rPr>
        <w:t>per se</w:t>
      </w:r>
      <w:r w:rsidR="0025556F">
        <w:rPr>
          <w:lang w:val="en-US"/>
        </w:rPr>
        <w:t xml:space="preserve"> can guarantee media pluralism.</w:t>
      </w:r>
      <w:r w:rsidR="0025556F">
        <w:rPr>
          <w:rStyle w:val="FootnoteReference"/>
          <w:lang w:val="en-US"/>
        </w:rPr>
        <w:footnoteReference w:id="8"/>
      </w:r>
      <w:r w:rsidR="0025556F">
        <w:rPr>
          <w:lang w:val="en-US"/>
        </w:rPr>
        <w:t xml:space="preserve"> In this paper, along with the role of </w:t>
      </w:r>
      <w:r w:rsidR="005F4C2E">
        <w:rPr>
          <w:lang w:val="en-US"/>
        </w:rPr>
        <w:t xml:space="preserve">the </w:t>
      </w:r>
      <w:r w:rsidR="0025556F">
        <w:rPr>
          <w:lang w:val="en-US"/>
        </w:rPr>
        <w:t>competition</w:t>
      </w:r>
      <w:r w:rsidR="000A24F2">
        <w:rPr>
          <w:lang w:val="en-US"/>
        </w:rPr>
        <w:t xml:space="preserve"> law</w:t>
      </w:r>
      <w:r w:rsidR="0025556F">
        <w:rPr>
          <w:lang w:val="en-US"/>
        </w:rPr>
        <w:t xml:space="preserve"> in </w:t>
      </w:r>
      <w:r w:rsidR="000A24F2">
        <w:rPr>
          <w:lang w:val="en-US"/>
        </w:rPr>
        <w:t>fostering</w:t>
      </w:r>
      <w:r w:rsidR="0025556F">
        <w:rPr>
          <w:lang w:val="en-US"/>
        </w:rPr>
        <w:t xml:space="preserve"> media pluralism, the legal framework at the EU level, from Charter of Fundamental Rights of the EU (Charter),</w:t>
      </w:r>
      <w:r w:rsidR="0025556F">
        <w:rPr>
          <w:rStyle w:val="FootnoteReference"/>
          <w:lang w:val="en-US"/>
        </w:rPr>
        <w:footnoteReference w:id="9"/>
      </w:r>
      <w:r w:rsidR="0025556F">
        <w:rPr>
          <w:lang w:val="en-US"/>
        </w:rPr>
        <w:t xml:space="preserve"> </w:t>
      </w:r>
      <w:r w:rsidR="0025556F">
        <w:rPr>
          <w:rFonts w:asciiTheme="majorHAnsi" w:hAnsiTheme="majorHAnsi" w:cstheme="majorHAnsi"/>
          <w:lang w:val="en-US"/>
        </w:rPr>
        <w:t>Audiovisual Media Services Directive (AVMSD),</w:t>
      </w:r>
      <w:r w:rsidR="0025556F">
        <w:rPr>
          <w:rStyle w:val="FootnoteReference"/>
          <w:rFonts w:asciiTheme="majorHAnsi" w:hAnsiTheme="majorHAnsi" w:cstheme="majorHAnsi"/>
          <w:lang w:val="en-US"/>
        </w:rPr>
        <w:footnoteReference w:id="10"/>
      </w:r>
      <w:r w:rsidR="0025556F">
        <w:rPr>
          <w:rFonts w:asciiTheme="majorHAnsi" w:hAnsiTheme="majorHAnsi" w:cstheme="majorHAnsi"/>
          <w:lang w:val="en-US"/>
        </w:rPr>
        <w:t xml:space="preserve"> </w:t>
      </w:r>
      <w:r w:rsidR="00E40FED">
        <w:rPr>
          <w:rFonts w:asciiTheme="majorHAnsi" w:hAnsiTheme="majorHAnsi" w:cstheme="majorHAnsi"/>
          <w:lang w:val="en-US"/>
        </w:rPr>
        <w:t xml:space="preserve">Media Pluralism Monitor (MPM) to European Media Initiative will be analysed. The paper, following an evolution of the latest developments in the area, will be concluded </w:t>
      </w:r>
      <w:r w:rsidR="00E40FED" w:rsidRPr="003A6DF5">
        <w:rPr>
          <w:rFonts w:asciiTheme="majorHAnsi" w:hAnsiTheme="majorHAnsi" w:cstheme="majorHAnsi"/>
          <w:lang w:val="en-US"/>
        </w:rPr>
        <w:t>with the position of the author.</w:t>
      </w:r>
    </w:p>
    <w:p w:rsidR="00EC39B2" w:rsidRDefault="00EC39B2" w:rsidP="00EC39B2">
      <w:pPr>
        <w:spacing w:line="360" w:lineRule="auto"/>
        <w:jc w:val="center"/>
        <w:rPr>
          <w:rFonts w:asciiTheme="majorHAnsi" w:hAnsiTheme="majorHAnsi" w:cstheme="majorHAnsi"/>
          <w:lang w:val="en-US"/>
        </w:rPr>
      </w:pPr>
    </w:p>
    <w:p w:rsidR="00E40FED" w:rsidRPr="00EC39B2" w:rsidRDefault="00EC39B2" w:rsidP="00EC39B2">
      <w:pPr>
        <w:pStyle w:val="ListParagraph"/>
        <w:numPr>
          <w:ilvl w:val="0"/>
          <w:numId w:val="21"/>
        </w:numPr>
        <w:spacing w:line="360" w:lineRule="auto"/>
        <w:jc w:val="center"/>
        <w:rPr>
          <w:rFonts w:asciiTheme="majorHAnsi" w:hAnsiTheme="majorHAnsi" w:cstheme="majorHAnsi"/>
          <w:b/>
          <w:lang w:val="en-US"/>
        </w:rPr>
      </w:pPr>
      <w:r w:rsidRPr="00EC39B2">
        <w:rPr>
          <w:rFonts w:asciiTheme="majorHAnsi" w:hAnsiTheme="majorHAnsi" w:cstheme="majorHAnsi"/>
          <w:b/>
          <w:lang w:val="en-US"/>
        </w:rPr>
        <w:t xml:space="preserve">AN OVERVIEW OF THE ENDEAVOR FOR THE ADOPTION OF A SPECIFIC REGULATION </w:t>
      </w:r>
    </w:p>
    <w:p w:rsidR="00E40FED" w:rsidRDefault="00E40FED" w:rsidP="00E40FED">
      <w:pPr>
        <w:pStyle w:val="ListParagraph"/>
        <w:spacing w:line="360" w:lineRule="auto"/>
        <w:ind w:left="714"/>
        <w:jc w:val="both"/>
        <w:rPr>
          <w:rFonts w:asciiTheme="majorHAnsi" w:hAnsiTheme="majorHAnsi" w:cstheme="majorHAnsi"/>
          <w:b/>
          <w:lang w:val="en-US"/>
        </w:rPr>
      </w:pPr>
    </w:p>
    <w:p w:rsidR="00E40FED" w:rsidRPr="00F651FB" w:rsidRDefault="00E40FED" w:rsidP="00E40FED">
      <w:pPr>
        <w:spacing w:line="360" w:lineRule="auto"/>
        <w:jc w:val="both"/>
        <w:rPr>
          <w:rFonts w:asciiTheme="majorHAnsi" w:hAnsiTheme="majorHAnsi" w:cstheme="majorHAnsi"/>
          <w:lang w:val="en-US"/>
        </w:rPr>
      </w:pPr>
      <w:r>
        <w:rPr>
          <w:rFonts w:asciiTheme="majorHAnsi" w:hAnsiTheme="majorHAnsi" w:cstheme="majorHAnsi"/>
          <w:lang w:val="en-US"/>
        </w:rPr>
        <w:tab/>
        <w:t xml:space="preserve">From the 1980s up to today, the </w:t>
      </w:r>
      <w:r w:rsidR="00190433">
        <w:rPr>
          <w:rFonts w:asciiTheme="majorHAnsi" w:hAnsiTheme="majorHAnsi" w:cstheme="majorHAnsi"/>
          <w:lang w:val="en-US"/>
        </w:rPr>
        <w:t>European Parliament (EP)</w:t>
      </w:r>
      <w:r>
        <w:rPr>
          <w:rFonts w:asciiTheme="majorHAnsi" w:hAnsiTheme="majorHAnsi" w:cstheme="majorHAnsi"/>
          <w:lang w:val="en-US"/>
        </w:rPr>
        <w:t xml:space="preserve"> has consistently urged the EC for regulatory action on media pluralism and particularly stressed the need for restrictions on media concentration at the EU level.</w:t>
      </w:r>
      <w:r>
        <w:rPr>
          <w:rStyle w:val="FootnoteReference"/>
          <w:rFonts w:asciiTheme="majorHAnsi" w:hAnsiTheme="majorHAnsi" w:cstheme="majorHAnsi"/>
          <w:lang w:val="en-US"/>
        </w:rPr>
        <w:footnoteReference w:id="11"/>
      </w:r>
      <w:r>
        <w:rPr>
          <w:rFonts w:asciiTheme="majorHAnsi" w:hAnsiTheme="majorHAnsi" w:cstheme="majorHAnsi"/>
          <w:lang w:val="en-US"/>
        </w:rPr>
        <w:t xml:space="preserve"> The initial concerns had arisen from the Italian Anomaly (or Berlusconi’s Italy)</w:t>
      </w:r>
      <w:r>
        <w:rPr>
          <w:rStyle w:val="FootnoteReference"/>
          <w:rFonts w:asciiTheme="majorHAnsi" w:hAnsiTheme="majorHAnsi" w:cstheme="majorHAnsi"/>
          <w:lang w:val="en-US"/>
        </w:rPr>
        <w:footnoteReference w:id="12"/>
      </w:r>
      <w:r>
        <w:rPr>
          <w:rFonts w:asciiTheme="majorHAnsi" w:hAnsiTheme="majorHAnsi" w:cstheme="majorHAnsi"/>
          <w:lang w:val="en-US"/>
        </w:rPr>
        <w:t xml:space="preserve"> – the high-level control of the Italian media by the then-Prime Minister - against which the EC took very little direct action.</w:t>
      </w:r>
      <w:r>
        <w:rPr>
          <w:rStyle w:val="FootnoteReference"/>
          <w:rFonts w:asciiTheme="majorHAnsi" w:hAnsiTheme="majorHAnsi" w:cstheme="majorHAnsi"/>
          <w:lang w:val="en-US"/>
        </w:rPr>
        <w:footnoteReference w:id="13"/>
      </w:r>
      <w:r>
        <w:rPr>
          <w:rFonts w:asciiTheme="majorHAnsi" w:hAnsiTheme="majorHAnsi" w:cstheme="majorHAnsi"/>
          <w:lang w:val="en-US"/>
        </w:rPr>
        <w:t xml:space="preserve"> However, not only the everlasting discussions on the adoption of a media concentration directive at the EU level have failed, but also the concentration </w:t>
      </w:r>
      <w:r w:rsidR="00866942">
        <w:rPr>
          <w:rFonts w:asciiTheme="majorHAnsi" w:hAnsiTheme="majorHAnsi" w:cstheme="majorHAnsi"/>
          <w:lang w:val="en-US"/>
        </w:rPr>
        <w:t>in</w:t>
      </w:r>
      <w:r>
        <w:rPr>
          <w:rFonts w:asciiTheme="majorHAnsi" w:hAnsiTheme="majorHAnsi" w:cstheme="majorHAnsi"/>
          <w:lang w:val="en-US"/>
        </w:rPr>
        <w:t xml:space="preserve"> the EU media market has increased over time.</w:t>
      </w:r>
      <w:r>
        <w:rPr>
          <w:rStyle w:val="FootnoteReference"/>
          <w:rFonts w:asciiTheme="majorHAnsi" w:hAnsiTheme="majorHAnsi" w:cstheme="majorHAnsi"/>
          <w:lang w:val="en-US"/>
        </w:rPr>
        <w:footnoteReference w:id="14"/>
      </w:r>
      <w:r>
        <w:rPr>
          <w:rFonts w:asciiTheme="majorHAnsi" w:hAnsiTheme="majorHAnsi" w:cstheme="majorHAnsi"/>
          <w:lang w:val="en-US"/>
        </w:rPr>
        <w:t xml:space="preserve"> From 2010 onwards, in light of the lack of a legal basis for a concrete EU intervention on media pluralism, severe threats to such have started to emerge in the other Member States, for instance, </w:t>
      </w:r>
      <w:r w:rsidR="002B6C98">
        <w:rPr>
          <w:rFonts w:asciiTheme="majorHAnsi" w:hAnsiTheme="majorHAnsi" w:cstheme="majorHAnsi"/>
          <w:lang w:val="en-US"/>
        </w:rPr>
        <w:t xml:space="preserve">the </w:t>
      </w:r>
      <w:r w:rsidR="002B6C98">
        <w:rPr>
          <w:rFonts w:asciiTheme="majorHAnsi" w:hAnsiTheme="majorHAnsi" w:cstheme="majorHAnsi"/>
          <w:lang w:val="en-US"/>
        </w:rPr>
        <w:lastRenderedPageBreak/>
        <w:t>adoption of new media rules</w:t>
      </w:r>
      <w:r>
        <w:rPr>
          <w:rFonts w:asciiTheme="majorHAnsi" w:hAnsiTheme="majorHAnsi" w:cstheme="majorHAnsi"/>
          <w:lang w:val="en-US"/>
        </w:rPr>
        <w:t xml:space="preserve"> in Hungary</w:t>
      </w:r>
      <w:r>
        <w:rPr>
          <w:rStyle w:val="FootnoteReference"/>
          <w:rFonts w:asciiTheme="majorHAnsi" w:hAnsiTheme="majorHAnsi" w:cstheme="majorHAnsi"/>
          <w:lang w:val="en-US"/>
        </w:rPr>
        <w:footnoteReference w:id="15"/>
      </w:r>
      <w:r>
        <w:rPr>
          <w:rFonts w:asciiTheme="majorHAnsi" w:hAnsiTheme="majorHAnsi" w:cstheme="majorHAnsi"/>
          <w:lang w:val="en-US"/>
        </w:rPr>
        <w:t xml:space="preserve"> and Poland</w:t>
      </w:r>
      <w:r>
        <w:rPr>
          <w:rStyle w:val="FootnoteReference"/>
          <w:rFonts w:asciiTheme="majorHAnsi" w:hAnsiTheme="majorHAnsi" w:cstheme="majorHAnsi"/>
          <w:lang w:val="en-US"/>
        </w:rPr>
        <w:footnoteReference w:id="16"/>
      </w:r>
      <w:r>
        <w:rPr>
          <w:rFonts w:asciiTheme="majorHAnsi" w:hAnsiTheme="majorHAnsi" w:cstheme="majorHAnsi"/>
          <w:lang w:val="en-US"/>
        </w:rPr>
        <w:t xml:space="preserve"> </w:t>
      </w:r>
      <w:r w:rsidR="00123292">
        <w:rPr>
          <w:rFonts w:asciiTheme="majorHAnsi" w:hAnsiTheme="majorHAnsi" w:cstheme="majorHAnsi"/>
          <w:lang w:val="en-US"/>
        </w:rPr>
        <w:t>or</w:t>
      </w:r>
      <w:r>
        <w:rPr>
          <w:rFonts w:asciiTheme="majorHAnsi" w:hAnsiTheme="majorHAnsi" w:cstheme="majorHAnsi"/>
          <w:lang w:val="en-US"/>
        </w:rPr>
        <w:t xml:space="preserve"> the hacking scandal in the UK</w:t>
      </w:r>
      <w:r w:rsidR="002B6C98">
        <w:rPr>
          <w:rFonts w:asciiTheme="majorHAnsi" w:hAnsiTheme="majorHAnsi" w:cstheme="majorHAnsi"/>
          <w:lang w:val="en-US"/>
        </w:rPr>
        <w:t xml:space="preserve"> which</w:t>
      </w:r>
      <w:r>
        <w:rPr>
          <w:rFonts w:asciiTheme="majorHAnsi" w:hAnsiTheme="majorHAnsi" w:cstheme="majorHAnsi"/>
          <w:lang w:val="en-US"/>
        </w:rPr>
        <w:t xml:space="preserve"> led to the closure of 168-year-old News of the World tabloid.</w:t>
      </w:r>
      <w:r>
        <w:rPr>
          <w:rStyle w:val="FootnoteReference"/>
          <w:rFonts w:asciiTheme="majorHAnsi" w:hAnsiTheme="majorHAnsi" w:cstheme="majorHAnsi"/>
          <w:lang w:val="en-US"/>
        </w:rPr>
        <w:footnoteReference w:id="17"/>
      </w:r>
    </w:p>
    <w:p w:rsidR="00E40FED" w:rsidRDefault="00E40FED" w:rsidP="00E40FED">
      <w:pPr>
        <w:spacing w:line="360" w:lineRule="auto"/>
        <w:jc w:val="both"/>
        <w:rPr>
          <w:rFonts w:asciiTheme="majorHAnsi" w:hAnsiTheme="majorHAnsi" w:cstheme="majorHAnsi"/>
          <w:lang w:val="en-US"/>
        </w:rPr>
      </w:pPr>
    </w:p>
    <w:p w:rsidR="00E40FED" w:rsidRPr="00953B04" w:rsidRDefault="00E40FED" w:rsidP="00E40FED">
      <w:pPr>
        <w:spacing w:line="360" w:lineRule="auto"/>
        <w:jc w:val="both"/>
        <w:rPr>
          <w:rFonts w:asciiTheme="majorHAnsi" w:hAnsiTheme="majorHAnsi" w:cstheme="majorHAnsi"/>
          <w:lang w:val="en-US"/>
        </w:rPr>
      </w:pPr>
      <w:r>
        <w:rPr>
          <w:rFonts w:asciiTheme="majorHAnsi" w:hAnsiTheme="majorHAnsi" w:cstheme="majorHAnsi"/>
          <w:lang w:val="en-US"/>
        </w:rPr>
        <w:tab/>
        <w:t>In this context, two independent advisory bodies, namely High-Level Group on Media Freedom and Pluralism (HLGMFP)</w:t>
      </w:r>
      <w:r>
        <w:rPr>
          <w:rStyle w:val="FootnoteReference"/>
          <w:rFonts w:asciiTheme="majorHAnsi" w:hAnsiTheme="majorHAnsi" w:cstheme="majorHAnsi"/>
          <w:lang w:val="en-US"/>
        </w:rPr>
        <w:footnoteReference w:id="18"/>
      </w:r>
      <w:r>
        <w:rPr>
          <w:rFonts w:asciiTheme="majorHAnsi" w:hAnsiTheme="majorHAnsi" w:cstheme="majorHAnsi"/>
          <w:lang w:val="en-US"/>
        </w:rPr>
        <w:t xml:space="preserve"> and the Centre for Media Pluralism and Media Freedom (CMPF)</w:t>
      </w:r>
      <w:r>
        <w:rPr>
          <w:rStyle w:val="FootnoteReference"/>
          <w:rFonts w:asciiTheme="majorHAnsi" w:hAnsiTheme="majorHAnsi" w:cstheme="majorHAnsi"/>
          <w:lang w:val="en-US"/>
        </w:rPr>
        <w:footnoteReference w:id="19"/>
      </w:r>
      <w:r>
        <w:rPr>
          <w:rFonts w:asciiTheme="majorHAnsi" w:hAnsiTheme="majorHAnsi" w:cstheme="majorHAnsi"/>
          <w:lang w:val="en-US"/>
        </w:rPr>
        <w:t xml:space="preserve"> have been established in 2011 and tasked to carry out relevant </w:t>
      </w:r>
      <w:r w:rsidR="00CA09CD">
        <w:rPr>
          <w:rFonts w:asciiTheme="majorHAnsi" w:hAnsiTheme="majorHAnsi" w:cstheme="majorHAnsi"/>
          <w:lang w:val="en-US"/>
        </w:rPr>
        <w:t>research</w:t>
      </w:r>
      <w:r>
        <w:rPr>
          <w:rFonts w:asciiTheme="majorHAnsi" w:hAnsiTheme="majorHAnsi" w:cstheme="majorHAnsi"/>
          <w:lang w:val="en-US"/>
        </w:rPr>
        <w:t xml:space="preserve"> and provide knowledge and recommendations to the EC with respect of protection, support, and promotion of media freedom and pluralism at the EU level. In 2013, both HLGMFP</w:t>
      </w:r>
      <w:r>
        <w:rPr>
          <w:rStyle w:val="FootnoteReference"/>
          <w:rFonts w:asciiTheme="majorHAnsi" w:hAnsiTheme="majorHAnsi" w:cstheme="majorHAnsi"/>
          <w:lang w:val="en-US"/>
        </w:rPr>
        <w:footnoteReference w:id="20"/>
      </w:r>
      <w:r>
        <w:rPr>
          <w:rFonts w:asciiTheme="majorHAnsi" w:hAnsiTheme="majorHAnsi" w:cstheme="majorHAnsi"/>
          <w:lang w:val="en-US"/>
        </w:rPr>
        <w:t xml:space="preserve"> and CMPF</w:t>
      </w:r>
      <w:r>
        <w:rPr>
          <w:rStyle w:val="FootnoteReference"/>
          <w:rFonts w:asciiTheme="majorHAnsi" w:hAnsiTheme="majorHAnsi" w:cstheme="majorHAnsi"/>
          <w:lang w:val="en-US"/>
        </w:rPr>
        <w:footnoteReference w:id="21"/>
      </w:r>
      <w:r>
        <w:rPr>
          <w:rFonts w:asciiTheme="majorHAnsi" w:hAnsiTheme="majorHAnsi" w:cstheme="majorHAnsi"/>
          <w:lang w:val="en-US"/>
        </w:rPr>
        <w:t xml:space="preserve"> published their reports on the question as to if the EU is, or should be, considered competent to regulate in this area.  </w:t>
      </w:r>
    </w:p>
    <w:p w:rsidR="00E40FED" w:rsidRDefault="00E40FED" w:rsidP="00E40FED">
      <w:pPr>
        <w:pStyle w:val="ListParagraph"/>
        <w:spacing w:line="360" w:lineRule="auto"/>
        <w:ind w:left="714"/>
        <w:jc w:val="both"/>
        <w:rPr>
          <w:rFonts w:ascii="Arial" w:hAnsi="Arial" w:cs="Arial"/>
          <w:color w:val="404040"/>
          <w:shd w:val="clear" w:color="auto" w:fill="FFFFFF"/>
          <w:lang w:eastAsia="tr-TR"/>
        </w:rPr>
      </w:pPr>
    </w:p>
    <w:p w:rsidR="00E40FED" w:rsidRDefault="00E40FED" w:rsidP="00E40FED">
      <w:pPr>
        <w:spacing w:line="360" w:lineRule="auto"/>
        <w:jc w:val="both"/>
        <w:rPr>
          <w:rFonts w:asciiTheme="majorHAnsi" w:hAnsiTheme="majorHAnsi" w:cstheme="majorHAnsi"/>
          <w:lang w:val="en-US"/>
        </w:rPr>
      </w:pPr>
      <w:r>
        <w:rPr>
          <w:rFonts w:asciiTheme="majorHAnsi" w:hAnsiTheme="majorHAnsi" w:cstheme="majorHAnsi"/>
          <w:lang w:val="en-US"/>
        </w:rPr>
        <w:tab/>
        <w:t>The backbone of the HLGMFP report was the indispensable character of media pluralism and freedom for European democracy.</w:t>
      </w:r>
      <w:r>
        <w:rPr>
          <w:rStyle w:val="FootnoteReference"/>
          <w:rFonts w:asciiTheme="majorHAnsi" w:hAnsiTheme="majorHAnsi" w:cstheme="majorHAnsi"/>
          <w:lang w:val="en-US"/>
        </w:rPr>
        <w:footnoteReference w:id="22"/>
      </w:r>
      <w:r>
        <w:rPr>
          <w:rFonts w:asciiTheme="majorHAnsi" w:hAnsiTheme="majorHAnsi" w:cstheme="majorHAnsi"/>
          <w:lang w:val="en-US"/>
        </w:rPr>
        <w:t xml:space="preserve"> Emphasizing “there can be no genuine democracy at the EU level if media freedom and pluralism are not guaranteed throughout the European political space” and stressing the need for more EU involvement by referring to serious threats to </w:t>
      </w:r>
      <w:r w:rsidR="00CA09CD">
        <w:rPr>
          <w:rFonts w:asciiTheme="majorHAnsi" w:hAnsiTheme="majorHAnsi" w:cstheme="majorHAnsi"/>
          <w:lang w:val="en-US"/>
        </w:rPr>
        <w:t>such</w:t>
      </w:r>
      <w:r>
        <w:rPr>
          <w:rFonts w:asciiTheme="majorHAnsi" w:hAnsiTheme="majorHAnsi" w:cstheme="majorHAnsi"/>
          <w:lang w:val="en-US"/>
        </w:rPr>
        <w:t xml:space="preserve"> in the certain Member States, the report, </w:t>
      </w:r>
      <w:r w:rsidRPr="007C50C3">
        <w:rPr>
          <w:rFonts w:asciiTheme="majorHAnsi" w:hAnsiTheme="majorHAnsi" w:cstheme="majorHAnsi"/>
          <w:i/>
          <w:lang w:val="en-US"/>
        </w:rPr>
        <w:t>inter alia</w:t>
      </w:r>
      <w:r>
        <w:rPr>
          <w:rFonts w:asciiTheme="majorHAnsi" w:hAnsiTheme="majorHAnsi" w:cstheme="majorHAnsi"/>
          <w:lang w:val="en-US"/>
        </w:rPr>
        <w:t xml:space="preserve">, recommended the EC that the (extensive) competency of the EU for taking actions </w:t>
      </w:r>
      <w:r w:rsidR="00CA09CD">
        <w:rPr>
          <w:rFonts w:asciiTheme="majorHAnsi" w:hAnsiTheme="majorHAnsi" w:cstheme="majorHAnsi"/>
          <w:lang w:val="en-US"/>
        </w:rPr>
        <w:t>fostering</w:t>
      </w:r>
      <w:r>
        <w:rPr>
          <w:rFonts w:asciiTheme="majorHAnsi" w:hAnsiTheme="majorHAnsi" w:cstheme="majorHAnsi"/>
          <w:lang w:val="en-US"/>
        </w:rPr>
        <w:t xml:space="preserve"> media freedom and pluralism should be recognised and justified based on the latter’s strong connection with EU democracy; further harmonisation of EU legislation is necessary for the effective functioning of the Single Market; the particular role of the media pluralism has to be paid greater attention in the enforcement of competition rules and establishment of an independent monitoring centre is crucial to monitor and assess risks to media pluralism at the EU level.</w:t>
      </w:r>
      <w:r>
        <w:rPr>
          <w:rStyle w:val="FootnoteReference"/>
          <w:rFonts w:asciiTheme="majorHAnsi" w:hAnsiTheme="majorHAnsi" w:cstheme="majorHAnsi"/>
          <w:lang w:val="en-US"/>
        </w:rPr>
        <w:footnoteReference w:id="23"/>
      </w:r>
    </w:p>
    <w:p w:rsidR="00E40FED" w:rsidRDefault="00E40FED" w:rsidP="00E40FED">
      <w:pPr>
        <w:spacing w:line="360" w:lineRule="auto"/>
        <w:jc w:val="both"/>
        <w:rPr>
          <w:rFonts w:asciiTheme="majorHAnsi" w:hAnsiTheme="majorHAnsi" w:cstheme="majorHAnsi"/>
          <w:lang w:val="en-US"/>
        </w:rPr>
      </w:pPr>
    </w:p>
    <w:p w:rsidR="00E40FED" w:rsidRDefault="00E40FED" w:rsidP="00E40FED">
      <w:pPr>
        <w:spacing w:line="360" w:lineRule="auto"/>
        <w:jc w:val="both"/>
        <w:rPr>
          <w:rFonts w:asciiTheme="majorHAnsi" w:hAnsiTheme="majorHAnsi" w:cstheme="majorHAnsi"/>
          <w:lang w:val="en-US"/>
        </w:rPr>
      </w:pPr>
      <w:r>
        <w:rPr>
          <w:rFonts w:asciiTheme="majorHAnsi" w:hAnsiTheme="majorHAnsi" w:cstheme="majorHAnsi"/>
          <w:lang w:val="en-US"/>
        </w:rPr>
        <w:lastRenderedPageBreak/>
        <w:tab/>
        <w:t>On the flip side, the essential aim of the CMPF report was to study the basis, if any, of the competence of the EU to legislate on media freedom and pluralism.</w:t>
      </w:r>
      <w:r>
        <w:rPr>
          <w:rStyle w:val="FootnoteReference"/>
          <w:rFonts w:asciiTheme="majorHAnsi" w:hAnsiTheme="majorHAnsi" w:cstheme="majorHAnsi"/>
          <w:lang w:val="en-US"/>
        </w:rPr>
        <w:footnoteReference w:id="24"/>
      </w:r>
      <w:r>
        <w:rPr>
          <w:rFonts w:asciiTheme="majorHAnsi" w:hAnsiTheme="majorHAnsi" w:cstheme="majorHAnsi"/>
          <w:lang w:val="en-US"/>
        </w:rPr>
        <w:t xml:space="preserve"> In this respect, by emphasizing that the EU cannot be neutral on the subject, the CMPF has made five main suggestions to the EC. First, the report underlined the importance of the implementation of the EU competition law, the aim of which in the media market is to ensure a democratic communications system, in light of the fundamental objectives pursued by the Treaties including article 11(2) of the Charter.</w:t>
      </w:r>
      <w:r>
        <w:rPr>
          <w:rStyle w:val="FootnoteReference"/>
          <w:rFonts w:asciiTheme="majorHAnsi" w:hAnsiTheme="majorHAnsi" w:cstheme="majorHAnsi"/>
          <w:lang w:val="en-US"/>
        </w:rPr>
        <w:footnoteReference w:id="25"/>
      </w:r>
      <w:r>
        <w:rPr>
          <w:rFonts w:asciiTheme="majorHAnsi" w:hAnsiTheme="majorHAnsi" w:cstheme="majorHAnsi"/>
          <w:lang w:val="en-US"/>
        </w:rPr>
        <w:t xml:space="preserve"> Specifically, pluralism-specific concerns have to be integrated into the assessment of media mergers.</w:t>
      </w:r>
      <w:r>
        <w:rPr>
          <w:rStyle w:val="FootnoteReference"/>
          <w:rFonts w:asciiTheme="majorHAnsi" w:hAnsiTheme="majorHAnsi" w:cstheme="majorHAnsi"/>
          <w:lang w:val="en-US"/>
        </w:rPr>
        <w:footnoteReference w:id="26"/>
      </w:r>
      <w:r>
        <w:rPr>
          <w:rFonts w:asciiTheme="majorHAnsi" w:hAnsiTheme="majorHAnsi" w:cstheme="majorHAnsi"/>
          <w:lang w:val="en-US"/>
        </w:rPr>
        <w:t xml:space="preserve"> Secondly, the rules on media ownership, ownership transparency, libel, and copyright have to be harmonised in the EU.</w:t>
      </w:r>
      <w:r>
        <w:rPr>
          <w:rStyle w:val="FootnoteReference"/>
          <w:rFonts w:asciiTheme="majorHAnsi" w:hAnsiTheme="majorHAnsi" w:cstheme="majorHAnsi"/>
          <w:lang w:val="en-US"/>
        </w:rPr>
        <w:footnoteReference w:id="27"/>
      </w:r>
      <w:r>
        <w:rPr>
          <w:rFonts w:asciiTheme="majorHAnsi" w:hAnsiTheme="majorHAnsi" w:cstheme="majorHAnsi"/>
          <w:lang w:val="en-US"/>
        </w:rPr>
        <w:t xml:space="preserve"> The CMPF then stressed the role of </w:t>
      </w:r>
      <w:r w:rsidR="004C2FE0">
        <w:rPr>
          <w:rFonts w:asciiTheme="majorHAnsi" w:hAnsiTheme="majorHAnsi" w:cstheme="majorHAnsi"/>
          <w:lang w:val="en-US"/>
        </w:rPr>
        <w:t>national regulatory authorities (NRA)</w:t>
      </w:r>
      <w:r>
        <w:rPr>
          <w:rFonts w:asciiTheme="majorHAnsi" w:hAnsiTheme="majorHAnsi" w:cstheme="majorHAnsi"/>
          <w:lang w:val="en-US"/>
        </w:rPr>
        <w:t xml:space="preserve"> in the audiovisual sector and recommended the establishment of independent NRAs which could help to develop common guidelines and soft regulation on media freedom and pluralism.</w:t>
      </w:r>
      <w:r>
        <w:rPr>
          <w:rStyle w:val="FootnoteReference"/>
          <w:rFonts w:asciiTheme="majorHAnsi" w:hAnsiTheme="majorHAnsi" w:cstheme="majorHAnsi"/>
          <w:lang w:val="en-US"/>
        </w:rPr>
        <w:footnoteReference w:id="28"/>
      </w:r>
      <w:r>
        <w:rPr>
          <w:rFonts w:asciiTheme="majorHAnsi" w:hAnsiTheme="majorHAnsi" w:cstheme="majorHAnsi"/>
          <w:lang w:val="en-US"/>
        </w:rPr>
        <w:t xml:space="preserve"> </w:t>
      </w:r>
    </w:p>
    <w:p w:rsidR="00E40FED" w:rsidRDefault="00E40FED" w:rsidP="00E40FED">
      <w:pPr>
        <w:spacing w:line="360" w:lineRule="auto"/>
        <w:jc w:val="both"/>
        <w:rPr>
          <w:rFonts w:asciiTheme="majorHAnsi" w:hAnsiTheme="majorHAnsi" w:cstheme="majorHAnsi"/>
          <w:lang w:val="en-US"/>
        </w:rPr>
      </w:pPr>
    </w:p>
    <w:p w:rsidR="00E40FED" w:rsidRDefault="00E40FED" w:rsidP="00D52CAC">
      <w:pPr>
        <w:spacing w:line="360" w:lineRule="auto"/>
        <w:jc w:val="both"/>
        <w:rPr>
          <w:rFonts w:asciiTheme="majorHAnsi" w:hAnsiTheme="majorHAnsi" w:cstheme="majorHAnsi"/>
          <w:lang w:val="en-US"/>
        </w:rPr>
      </w:pPr>
      <w:r>
        <w:rPr>
          <w:rFonts w:asciiTheme="majorHAnsi" w:hAnsiTheme="majorHAnsi" w:cstheme="majorHAnsi"/>
          <w:lang w:val="en-US"/>
        </w:rPr>
        <w:tab/>
        <w:t xml:space="preserve">According to the CMPF, another means of EU intervention could be through the European Union Agency for Fundamental Rights (FRA), by assigning the FRA to monitor and propose common standards on the media freedom and pluralism or through the establishment of an </w:t>
      </w:r>
      <w:r w:rsidRPr="00335629">
        <w:rPr>
          <w:rFonts w:asciiTheme="majorHAnsi" w:hAnsiTheme="majorHAnsi" w:cstheme="majorHAnsi"/>
          <w:i/>
          <w:lang w:val="en-US"/>
        </w:rPr>
        <w:t>ad hoc</w:t>
      </w:r>
      <w:r>
        <w:rPr>
          <w:rFonts w:asciiTheme="majorHAnsi" w:hAnsiTheme="majorHAnsi" w:cstheme="majorHAnsi"/>
          <w:lang w:val="en-US"/>
        </w:rPr>
        <w:t xml:space="preserve"> agency which can have naming and shaming role.</w:t>
      </w:r>
      <w:r>
        <w:rPr>
          <w:rStyle w:val="FootnoteReference"/>
          <w:rFonts w:asciiTheme="majorHAnsi" w:hAnsiTheme="majorHAnsi" w:cstheme="majorHAnsi"/>
          <w:lang w:val="en-US"/>
        </w:rPr>
        <w:footnoteReference w:id="29"/>
      </w:r>
      <w:r>
        <w:rPr>
          <w:rFonts w:asciiTheme="majorHAnsi" w:hAnsiTheme="majorHAnsi" w:cstheme="majorHAnsi"/>
          <w:lang w:val="en-US"/>
        </w:rPr>
        <w:t xml:space="preserve"> Such </w:t>
      </w:r>
      <w:r w:rsidR="002D1CA1">
        <w:rPr>
          <w:rFonts w:asciiTheme="majorHAnsi" w:hAnsiTheme="majorHAnsi" w:cstheme="majorHAnsi"/>
          <w:lang w:val="en-US"/>
        </w:rPr>
        <w:t xml:space="preserve">a </w:t>
      </w:r>
      <w:r>
        <w:rPr>
          <w:rFonts w:asciiTheme="majorHAnsi" w:hAnsiTheme="majorHAnsi" w:cstheme="majorHAnsi"/>
          <w:lang w:val="en-US"/>
        </w:rPr>
        <w:t>soft</w:t>
      </w:r>
      <w:r w:rsidR="002D1CA1">
        <w:rPr>
          <w:rFonts w:asciiTheme="majorHAnsi" w:hAnsiTheme="majorHAnsi" w:cstheme="majorHAnsi"/>
          <w:lang w:val="en-US"/>
        </w:rPr>
        <w:t>-</w:t>
      </w:r>
      <w:r>
        <w:rPr>
          <w:rFonts w:asciiTheme="majorHAnsi" w:hAnsiTheme="majorHAnsi" w:cstheme="majorHAnsi"/>
          <w:lang w:val="en-US"/>
        </w:rPr>
        <w:t>law instrument has the potential to have a significant influence on developing awareness on the issue.</w:t>
      </w:r>
      <w:r>
        <w:rPr>
          <w:rStyle w:val="FootnoteReference"/>
          <w:rFonts w:asciiTheme="majorHAnsi" w:hAnsiTheme="majorHAnsi" w:cstheme="majorHAnsi"/>
          <w:lang w:val="en-US"/>
        </w:rPr>
        <w:footnoteReference w:id="30"/>
      </w:r>
      <w:r>
        <w:rPr>
          <w:rFonts w:asciiTheme="majorHAnsi" w:hAnsiTheme="majorHAnsi" w:cstheme="majorHAnsi"/>
          <w:lang w:val="en-US"/>
        </w:rPr>
        <w:t xml:space="preserve"> However, the most groundbreaking recommendation in the CMPF report was the revision of the Treaties. The CMPF acknowledged that the fundamental threats to media freedom and pluralism come from two main sources: political power and private economic power.</w:t>
      </w:r>
      <w:r>
        <w:rPr>
          <w:rStyle w:val="FootnoteReference"/>
          <w:rFonts w:asciiTheme="majorHAnsi" w:hAnsiTheme="majorHAnsi" w:cstheme="majorHAnsi"/>
          <w:lang w:val="en-US"/>
        </w:rPr>
        <w:footnoteReference w:id="31"/>
      </w:r>
      <w:r>
        <w:rPr>
          <w:rFonts w:asciiTheme="majorHAnsi" w:hAnsiTheme="majorHAnsi" w:cstheme="majorHAnsi"/>
          <w:lang w:val="en-US"/>
        </w:rPr>
        <w:t xml:space="preserve"> Therefore, incorporation of two main principles, namely the prohibition of the creation and maintenance of a dominant position in the </w:t>
      </w:r>
      <w:r w:rsidR="002D1CA1">
        <w:rPr>
          <w:rFonts w:asciiTheme="majorHAnsi" w:hAnsiTheme="majorHAnsi" w:cstheme="majorHAnsi"/>
          <w:lang w:val="en-US"/>
        </w:rPr>
        <w:t xml:space="preserve">media </w:t>
      </w:r>
      <w:r>
        <w:rPr>
          <w:rFonts w:asciiTheme="majorHAnsi" w:hAnsiTheme="majorHAnsi" w:cstheme="majorHAnsi"/>
          <w:lang w:val="en-US"/>
        </w:rPr>
        <w:t xml:space="preserve">market and the prevention of any undue influence by governments and economic powers on media undertakings, have to be </w:t>
      </w:r>
      <w:r>
        <w:rPr>
          <w:rFonts w:asciiTheme="majorHAnsi" w:hAnsiTheme="majorHAnsi" w:cstheme="majorHAnsi"/>
          <w:lang w:val="en-US"/>
        </w:rPr>
        <w:lastRenderedPageBreak/>
        <w:t>incorporated into the Treaties, particularly into the Treaty on the Functioning of the European Union</w:t>
      </w:r>
      <w:r>
        <w:rPr>
          <w:rStyle w:val="FootnoteReference"/>
          <w:rFonts w:asciiTheme="majorHAnsi" w:hAnsiTheme="majorHAnsi" w:cstheme="majorHAnsi"/>
          <w:lang w:val="en-US"/>
        </w:rPr>
        <w:footnoteReference w:id="32"/>
      </w:r>
      <w:r>
        <w:rPr>
          <w:rFonts w:asciiTheme="majorHAnsi" w:hAnsiTheme="majorHAnsi" w:cstheme="majorHAnsi"/>
          <w:lang w:val="en-US"/>
        </w:rPr>
        <w:t xml:space="preserve"> (TFEU).</w:t>
      </w:r>
      <w:r>
        <w:rPr>
          <w:rStyle w:val="FootnoteReference"/>
          <w:rFonts w:asciiTheme="majorHAnsi" w:hAnsiTheme="majorHAnsi" w:cstheme="majorHAnsi"/>
          <w:lang w:val="en-US"/>
        </w:rPr>
        <w:footnoteReference w:id="33"/>
      </w:r>
    </w:p>
    <w:p w:rsidR="00EC39B2" w:rsidRDefault="00EC39B2" w:rsidP="00D52CAC">
      <w:pPr>
        <w:spacing w:line="360" w:lineRule="auto"/>
        <w:jc w:val="both"/>
        <w:rPr>
          <w:rFonts w:asciiTheme="majorHAnsi" w:hAnsiTheme="majorHAnsi" w:cstheme="majorHAnsi"/>
          <w:lang w:val="en-US"/>
        </w:rPr>
      </w:pPr>
    </w:p>
    <w:p w:rsidR="00EC39B2" w:rsidRPr="00EC39B2" w:rsidRDefault="00EC39B2" w:rsidP="00EC39B2">
      <w:pPr>
        <w:pStyle w:val="ListParagraph"/>
        <w:numPr>
          <w:ilvl w:val="0"/>
          <w:numId w:val="21"/>
        </w:numPr>
        <w:spacing w:line="360" w:lineRule="auto"/>
        <w:jc w:val="center"/>
        <w:rPr>
          <w:rFonts w:asciiTheme="majorHAnsi" w:hAnsiTheme="majorHAnsi" w:cstheme="majorHAnsi"/>
          <w:b/>
          <w:lang w:val="en-US"/>
        </w:rPr>
      </w:pPr>
      <w:r w:rsidRPr="00EC39B2">
        <w:rPr>
          <w:rFonts w:asciiTheme="majorHAnsi" w:hAnsiTheme="majorHAnsi" w:cstheme="majorHAnsi"/>
          <w:b/>
          <w:lang w:val="en-US"/>
        </w:rPr>
        <w:t xml:space="preserve">HARD-LAW INSTRUMENTS </w:t>
      </w:r>
      <w:r>
        <w:rPr>
          <w:rFonts w:asciiTheme="majorHAnsi" w:hAnsiTheme="majorHAnsi" w:cstheme="majorHAnsi"/>
          <w:b/>
          <w:lang w:val="en-US"/>
        </w:rPr>
        <w:t>PROTECTING</w:t>
      </w:r>
      <w:r w:rsidRPr="00EC39B2">
        <w:rPr>
          <w:rFonts w:asciiTheme="majorHAnsi" w:hAnsiTheme="majorHAnsi" w:cstheme="majorHAnsi"/>
          <w:b/>
          <w:lang w:val="en-US"/>
        </w:rPr>
        <w:t xml:space="preserve"> MEDIA PLURALISM</w:t>
      </w:r>
    </w:p>
    <w:p w:rsidR="00FE6819" w:rsidRDefault="00FE6819" w:rsidP="00FE6819">
      <w:pPr>
        <w:spacing w:line="360" w:lineRule="auto"/>
        <w:jc w:val="both"/>
        <w:rPr>
          <w:rFonts w:asciiTheme="majorHAnsi" w:hAnsiTheme="majorHAnsi" w:cstheme="majorHAnsi"/>
          <w:b/>
          <w:lang w:val="en-US"/>
        </w:rPr>
      </w:pPr>
    </w:p>
    <w:p w:rsidR="00754B91" w:rsidRPr="00EC39B2" w:rsidRDefault="00754B91" w:rsidP="00EC39B2">
      <w:pPr>
        <w:pStyle w:val="ListParagraph"/>
        <w:numPr>
          <w:ilvl w:val="0"/>
          <w:numId w:val="23"/>
        </w:numPr>
        <w:spacing w:line="360" w:lineRule="auto"/>
        <w:jc w:val="both"/>
        <w:rPr>
          <w:rFonts w:asciiTheme="majorHAnsi" w:hAnsiTheme="majorHAnsi" w:cstheme="majorHAnsi"/>
          <w:b/>
          <w:lang w:val="en-US"/>
        </w:rPr>
      </w:pPr>
      <w:r w:rsidRPr="00EC39B2">
        <w:rPr>
          <w:rFonts w:asciiTheme="majorHAnsi" w:hAnsiTheme="majorHAnsi" w:cstheme="majorHAnsi"/>
          <w:b/>
          <w:lang w:val="en-US"/>
        </w:rPr>
        <w:t xml:space="preserve">Article 11 of the Charter </w:t>
      </w:r>
    </w:p>
    <w:p w:rsidR="00E40FED" w:rsidRPr="00E40FED" w:rsidRDefault="00E40FED" w:rsidP="00E40FED">
      <w:pPr>
        <w:pStyle w:val="ListParagraph"/>
        <w:spacing w:line="360" w:lineRule="auto"/>
        <w:jc w:val="both"/>
        <w:rPr>
          <w:rFonts w:asciiTheme="majorHAnsi" w:hAnsiTheme="majorHAnsi" w:cstheme="majorHAnsi"/>
          <w:b/>
          <w:lang w:val="en-US"/>
        </w:rPr>
      </w:pPr>
    </w:p>
    <w:p w:rsidR="00754B91" w:rsidRDefault="00754B91" w:rsidP="00754B91">
      <w:pPr>
        <w:spacing w:line="360" w:lineRule="auto"/>
        <w:jc w:val="both"/>
        <w:rPr>
          <w:rFonts w:asciiTheme="majorHAnsi" w:hAnsiTheme="majorHAnsi" w:cstheme="majorHAnsi"/>
          <w:lang w:val="en-US"/>
        </w:rPr>
      </w:pPr>
      <w:r>
        <w:rPr>
          <w:rFonts w:asciiTheme="majorHAnsi" w:hAnsiTheme="majorHAnsi" w:cstheme="majorHAnsi"/>
          <w:b/>
          <w:lang w:val="en-US"/>
        </w:rPr>
        <w:tab/>
      </w:r>
      <w:r>
        <w:rPr>
          <w:rFonts w:asciiTheme="majorHAnsi" w:hAnsiTheme="majorHAnsi" w:cstheme="majorHAnsi"/>
          <w:lang w:val="en-US"/>
        </w:rPr>
        <w:t>Article 11(1) of the Charter, which has become legally binding that equal to the Treaties with the entry into force of the Lisbon Treaty,</w:t>
      </w:r>
      <w:r>
        <w:rPr>
          <w:rStyle w:val="FootnoteReference"/>
          <w:rFonts w:asciiTheme="majorHAnsi" w:hAnsiTheme="majorHAnsi" w:cstheme="majorHAnsi"/>
          <w:lang w:val="en-US"/>
        </w:rPr>
        <w:footnoteReference w:id="34"/>
      </w:r>
      <w:r>
        <w:rPr>
          <w:rFonts w:asciiTheme="majorHAnsi" w:hAnsiTheme="majorHAnsi" w:cstheme="majorHAnsi"/>
          <w:lang w:val="en-US"/>
        </w:rPr>
        <w:t xml:space="preserve"> protects the fundamental right to FoEI and article 11(2) regulates that “The freedom and pluralism of the media shall be respected.” Thus, the Charter not only necessitates a pro-active approach of the Member States to safeguard media pluralism aside from not harming the existing conjuncture,</w:t>
      </w:r>
      <w:r>
        <w:rPr>
          <w:rStyle w:val="FootnoteReference"/>
          <w:rFonts w:asciiTheme="majorHAnsi" w:hAnsiTheme="majorHAnsi" w:cstheme="majorHAnsi"/>
          <w:lang w:val="en-US"/>
        </w:rPr>
        <w:footnoteReference w:id="35"/>
      </w:r>
      <w:r>
        <w:rPr>
          <w:rFonts w:asciiTheme="majorHAnsi" w:hAnsiTheme="majorHAnsi" w:cstheme="majorHAnsi"/>
          <w:lang w:val="en-US"/>
        </w:rPr>
        <w:t xml:space="preserve"> but it also requires all the legislation at the EU level to be adopted by taking into consideration media freedom and pluralism principles.</w:t>
      </w:r>
      <w:r>
        <w:rPr>
          <w:rStyle w:val="FootnoteReference"/>
          <w:rFonts w:asciiTheme="majorHAnsi" w:hAnsiTheme="majorHAnsi" w:cstheme="majorHAnsi"/>
          <w:lang w:val="en-US"/>
        </w:rPr>
        <w:footnoteReference w:id="36"/>
      </w:r>
      <w:r>
        <w:rPr>
          <w:rFonts w:asciiTheme="majorHAnsi" w:hAnsiTheme="majorHAnsi" w:cstheme="majorHAnsi"/>
          <w:lang w:val="en-US"/>
        </w:rPr>
        <w:t xml:space="preserve"> Nevertheless, article 11(2) of the Charter cannot constitute a legal basis for a binding media pluralism legislation at the EU level</w:t>
      </w:r>
      <w:r>
        <w:rPr>
          <w:rStyle w:val="FootnoteReference"/>
          <w:rFonts w:asciiTheme="majorHAnsi" w:hAnsiTheme="majorHAnsi" w:cstheme="majorHAnsi"/>
          <w:lang w:val="en-US"/>
        </w:rPr>
        <w:footnoteReference w:id="37"/>
      </w:r>
      <w:r>
        <w:rPr>
          <w:rFonts w:asciiTheme="majorHAnsi" w:hAnsiTheme="majorHAnsi" w:cstheme="majorHAnsi"/>
          <w:lang w:val="en-US"/>
        </w:rPr>
        <w:t xml:space="preserve"> given that the Charter does not extend the competence of the EU beyond the framework of the Treaties.</w:t>
      </w:r>
      <w:r>
        <w:rPr>
          <w:rStyle w:val="FootnoteReference"/>
          <w:rFonts w:asciiTheme="majorHAnsi" w:hAnsiTheme="majorHAnsi" w:cstheme="majorHAnsi"/>
          <w:lang w:val="en-US"/>
        </w:rPr>
        <w:footnoteReference w:id="38"/>
      </w:r>
    </w:p>
    <w:p w:rsidR="00754B91" w:rsidRPr="004569EE" w:rsidRDefault="00754B91" w:rsidP="00FE6819">
      <w:pPr>
        <w:spacing w:line="360" w:lineRule="auto"/>
        <w:jc w:val="both"/>
        <w:rPr>
          <w:rFonts w:asciiTheme="majorHAnsi" w:hAnsiTheme="majorHAnsi" w:cstheme="majorHAnsi"/>
          <w:b/>
          <w:lang w:val="en-US"/>
        </w:rPr>
      </w:pPr>
    </w:p>
    <w:p w:rsidR="00E40FED" w:rsidRPr="00EC39B2" w:rsidRDefault="00E40FED" w:rsidP="00EC39B2">
      <w:pPr>
        <w:pStyle w:val="ListParagraph"/>
        <w:numPr>
          <w:ilvl w:val="0"/>
          <w:numId w:val="23"/>
        </w:numPr>
        <w:spacing w:line="360" w:lineRule="auto"/>
        <w:jc w:val="both"/>
        <w:rPr>
          <w:rFonts w:asciiTheme="majorHAnsi" w:hAnsiTheme="majorHAnsi" w:cstheme="majorHAnsi"/>
          <w:b/>
          <w:lang w:val="en-US"/>
        </w:rPr>
      </w:pPr>
      <w:r w:rsidRPr="00EC39B2">
        <w:rPr>
          <w:rFonts w:asciiTheme="majorHAnsi" w:hAnsiTheme="majorHAnsi" w:cstheme="majorHAnsi"/>
          <w:b/>
          <w:lang w:val="en-US"/>
        </w:rPr>
        <w:t xml:space="preserve">The Role of </w:t>
      </w:r>
      <w:r w:rsidR="00764525">
        <w:rPr>
          <w:rFonts w:asciiTheme="majorHAnsi" w:hAnsiTheme="majorHAnsi" w:cstheme="majorHAnsi"/>
          <w:b/>
          <w:lang w:val="en-US"/>
        </w:rPr>
        <w:t xml:space="preserve">the </w:t>
      </w:r>
      <w:r w:rsidRPr="00EC39B2">
        <w:rPr>
          <w:rFonts w:asciiTheme="majorHAnsi" w:hAnsiTheme="majorHAnsi" w:cstheme="majorHAnsi"/>
          <w:b/>
          <w:lang w:val="en-US"/>
        </w:rPr>
        <w:t xml:space="preserve">Competition Law in </w:t>
      </w:r>
      <w:r w:rsidR="00F8057B">
        <w:rPr>
          <w:rFonts w:asciiTheme="majorHAnsi" w:hAnsiTheme="majorHAnsi" w:cstheme="majorHAnsi"/>
          <w:b/>
          <w:lang w:val="en-US"/>
        </w:rPr>
        <w:t>Promoting</w:t>
      </w:r>
      <w:r w:rsidRPr="00EC39B2">
        <w:rPr>
          <w:rFonts w:asciiTheme="majorHAnsi" w:hAnsiTheme="majorHAnsi" w:cstheme="majorHAnsi"/>
          <w:b/>
          <w:lang w:val="en-US"/>
        </w:rPr>
        <w:t xml:space="preserve"> Media Pluralism</w:t>
      </w:r>
    </w:p>
    <w:p w:rsidR="00250FBC" w:rsidRDefault="00250FBC" w:rsidP="00250FBC">
      <w:pPr>
        <w:pStyle w:val="ListParagraph"/>
        <w:spacing w:line="360" w:lineRule="auto"/>
        <w:jc w:val="both"/>
        <w:rPr>
          <w:rFonts w:asciiTheme="majorHAnsi" w:hAnsiTheme="majorHAnsi" w:cstheme="majorHAnsi"/>
          <w:b/>
          <w:lang w:val="en-US"/>
        </w:rPr>
      </w:pPr>
    </w:p>
    <w:p w:rsidR="001A0AFC" w:rsidRDefault="00250FBC" w:rsidP="00250FBC">
      <w:pPr>
        <w:spacing w:line="360" w:lineRule="auto"/>
        <w:jc w:val="both"/>
        <w:rPr>
          <w:rFonts w:asciiTheme="majorHAnsi" w:hAnsiTheme="majorHAnsi" w:cstheme="majorHAnsi"/>
          <w:lang w:val="en-US"/>
        </w:rPr>
      </w:pPr>
      <w:r>
        <w:rPr>
          <w:rFonts w:asciiTheme="majorHAnsi" w:hAnsiTheme="majorHAnsi" w:cstheme="majorHAnsi"/>
          <w:lang w:val="en-US"/>
        </w:rPr>
        <w:tab/>
      </w:r>
      <w:r w:rsidRPr="00250FBC">
        <w:rPr>
          <w:rFonts w:asciiTheme="majorHAnsi" w:hAnsiTheme="majorHAnsi" w:cstheme="majorHAnsi"/>
          <w:lang w:val="en-US"/>
        </w:rPr>
        <w:t xml:space="preserve">At present, </w:t>
      </w:r>
      <w:r w:rsidR="00B000AD">
        <w:rPr>
          <w:rFonts w:asciiTheme="majorHAnsi" w:hAnsiTheme="majorHAnsi" w:cstheme="majorHAnsi"/>
          <w:lang w:val="en-US"/>
        </w:rPr>
        <w:t xml:space="preserve">competition law is the only instrument </w:t>
      </w:r>
      <w:r w:rsidR="007B650E">
        <w:rPr>
          <w:rFonts w:asciiTheme="majorHAnsi" w:hAnsiTheme="majorHAnsi" w:cstheme="majorHAnsi"/>
          <w:lang w:val="en-US"/>
        </w:rPr>
        <w:t xml:space="preserve">enabling </w:t>
      </w:r>
      <w:r w:rsidR="00B000AD">
        <w:rPr>
          <w:rFonts w:asciiTheme="majorHAnsi" w:hAnsiTheme="majorHAnsi" w:cstheme="majorHAnsi"/>
          <w:lang w:val="en-US"/>
        </w:rPr>
        <w:t>the EU to take direct action in media concentration.</w:t>
      </w:r>
      <w:r w:rsidR="00B000AD">
        <w:rPr>
          <w:rStyle w:val="FootnoteReference"/>
          <w:rFonts w:asciiTheme="majorHAnsi" w:hAnsiTheme="majorHAnsi" w:cstheme="majorHAnsi"/>
          <w:lang w:val="en-US"/>
        </w:rPr>
        <w:footnoteReference w:id="39"/>
      </w:r>
      <w:r w:rsidR="00D12713">
        <w:rPr>
          <w:rFonts w:asciiTheme="majorHAnsi" w:hAnsiTheme="majorHAnsi" w:cstheme="majorHAnsi"/>
          <w:lang w:val="en-US"/>
        </w:rPr>
        <w:t xml:space="preserve"> In this context, article</w:t>
      </w:r>
      <w:r w:rsidR="00B420F7">
        <w:rPr>
          <w:rFonts w:asciiTheme="majorHAnsi" w:hAnsiTheme="majorHAnsi" w:cstheme="majorHAnsi"/>
          <w:lang w:val="en-US"/>
        </w:rPr>
        <w:t>s</w:t>
      </w:r>
      <w:r w:rsidR="00D12713">
        <w:rPr>
          <w:rFonts w:asciiTheme="majorHAnsi" w:hAnsiTheme="majorHAnsi" w:cstheme="majorHAnsi"/>
          <w:lang w:val="en-US"/>
        </w:rPr>
        <w:t xml:space="preserve"> 101 and 102 of the TFEU govern rules on the prohibition of anti-competitive agreements between undertakings and the prohibition of abuse of a dominant position within the internal market respectively. Besides, the EC has the power to </w:t>
      </w:r>
      <w:r w:rsidR="005F4C2E">
        <w:rPr>
          <w:rFonts w:asciiTheme="majorHAnsi" w:hAnsiTheme="majorHAnsi" w:cstheme="majorHAnsi"/>
          <w:lang w:val="en-US"/>
        </w:rPr>
        <w:t>control</w:t>
      </w:r>
      <w:r w:rsidR="00D12713">
        <w:rPr>
          <w:rFonts w:asciiTheme="majorHAnsi" w:hAnsiTheme="majorHAnsi" w:cstheme="majorHAnsi"/>
          <w:lang w:val="en-US"/>
        </w:rPr>
        <w:t xml:space="preserve"> merges through the EU Merger Regulation.</w:t>
      </w:r>
      <w:r w:rsidR="00D12713">
        <w:rPr>
          <w:rStyle w:val="FootnoteReference"/>
          <w:rFonts w:asciiTheme="majorHAnsi" w:hAnsiTheme="majorHAnsi" w:cstheme="majorHAnsi"/>
          <w:lang w:val="en-US"/>
        </w:rPr>
        <w:footnoteReference w:id="40"/>
      </w:r>
    </w:p>
    <w:p w:rsidR="00A91353" w:rsidRDefault="001A0AFC" w:rsidP="00250FBC">
      <w:pPr>
        <w:spacing w:line="360" w:lineRule="auto"/>
        <w:jc w:val="both"/>
        <w:rPr>
          <w:rFonts w:asciiTheme="majorHAnsi" w:hAnsiTheme="majorHAnsi" w:cstheme="majorHAnsi"/>
          <w:lang w:val="en-US"/>
        </w:rPr>
      </w:pPr>
      <w:r>
        <w:rPr>
          <w:rFonts w:asciiTheme="majorHAnsi" w:hAnsiTheme="majorHAnsi" w:cstheme="majorHAnsi"/>
          <w:lang w:val="en-US"/>
        </w:rPr>
        <w:lastRenderedPageBreak/>
        <w:tab/>
        <w:t xml:space="preserve">A prime example, which </w:t>
      </w:r>
      <w:r w:rsidR="00E63616">
        <w:rPr>
          <w:rFonts w:asciiTheme="majorHAnsi" w:hAnsiTheme="majorHAnsi" w:cstheme="majorHAnsi"/>
          <w:lang w:val="en-US"/>
        </w:rPr>
        <w:t>has</w:t>
      </w:r>
      <w:r>
        <w:rPr>
          <w:rFonts w:asciiTheme="majorHAnsi" w:hAnsiTheme="majorHAnsi" w:cstheme="majorHAnsi"/>
          <w:lang w:val="en-US"/>
        </w:rPr>
        <w:t xml:space="preserve"> indirect effects </w:t>
      </w:r>
      <w:r w:rsidR="00E63616">
        <w:rPr>
          <w:rFonts w:asciiTheme="majorHAnsi" w:hAnsiTheme="majorHAnsi" w:cstheme="majorHAnsi"/>
          <w:lang w:val="en-US"/>
        </w:rPr>
        <w:t>on</w:t>
      </w:r>
      <w:r>
        <w:rPr>
          <w:rFonts w:asciiTheme="majorHAnsi" w:hAnsiTheme="majorHAnsi" w:cstheme="majorHAnsi"/>
          <w:lang w:val="en-US"/>
        </w:rPr>
        <w:t xml:space="preserve"> the promotion of media pluralism, is </w:t>
      </w:r>
      <w:r w:rsidR="00E63616">
        <w:rPr>
          <w:rFonts w:asciiTheme="majorHAnsi" w:hAnsiTheme="majorHAnsi" w:cstheme="majorHAnsi"/>
          <w:lang w:val="en-US"/>
        </w:rPr>
        <w:t xml:space="preserve">the </w:t>
      </w:r>
      <w:r>
        <w:rPr>
          <w:rFonts w:asciiTheme="majorHAnsi" w:hAnsiTheme="majorHAnsi" w:cstheme="majorHAnsi"/>
          <w:lang w:val="en-US"/>
        </w:rPr>
        <w:t>BSkyB/Premier League case of the EC</w:t>
      </w:r>
      <w:r w:rsidR="00E63616">
        <w:rPr>
          <w:rFonts w:asciiTheme="majorHAnsi" w:hAnsiTheme="majorHAnsi" w:cstheme="majorHAnsi"/>
          <w:lang w:val="en-US"/>
        </w:rPr>
        <w:t>, enacted</w:t>
      </w:r>
      <w:r>
        <w:rPr>
          <w:rFonts w:asciiTheme="majorHAnsi" w:hAnsiTheme="majorHAnsi" w:cstheme="majorHAnsi"/>
          <w:lang w:val="en-US"/>
        </w:rPr>
        <w:t xml:space="preserve"> within the context of article 101 of the TFEU.</w:t>
      </w:r>
      <w:r>
        <w:rPr>
          <w:rStyle w:val="FootnoteReference"/>
          <w:rFonts w:asciiTheme="majorHAnsi" w:hAnsiTheme="majorHAnsi" w:cstheme="majorHAnsi"/>
          <w:lang w:val="en-US"/>
        </w:rPr>
        <w:footnoteReference w:id="41"/>
      </w:r>
      <w:r w:rsidR="00847C1B">
        <w:rPr>
          <w:rFonts w:asciiTheme="majorHAnsi" w:hAnsiTheme="majorHAnsi" w:cstheme="majorHAnsi"/>
          <w:lang w:val="en-US"/>
        </w:rPr>
        <w:t xml:space="preserve"> The case was concerning a joint selling arrangement for the exploitation of media rights to Premier League matches, according to which a central agency will sell the media rights on behalf of individual clubs.</w:t>
      </w:r>
      <w:r w:rsidR="00847C1B">
        <w:rPr>
          <w:rStyle w:val="FootnoteReference"/>
          <w:rFonts w:asciiTheme="majorHAnsi" w:hAnsiTheme="majorHAnsi" w:cstheme="majorHAnsi"/>
          <w:lang w:val="en-US"/>
        </w:rPr>
        <w:footnoteReference w:id="42"/>
      </w:r>
      <w:r w:rsidR="00847C1B">
        <w:rPr>
          <w:rFonts w:asciiTheme="majorHAnsi" w:hAnsiTheme="majorHAnsi" w:cstheme="majorHAnsi"/>
          <w:lang w:val="en-US"/>
        </w:rPr>
        <w:t xml:space="preserve"> </w:t>
      </w:r>
      <w:r w:rsidR="00E63616">
        <w:rPr>
          <w:rFonts w:asciiTheme="majorHAnsi" w:hAnsiTheme="majorHAnsi" w:cstheme="majorHAnsi"/>
          <w:lang w:val="en-US"/>
        </w:rPr>
        <w:t xml:space="preserve">Following the opposition of the EC based on competition concerns, the case was concluded with </w:t>
      </w:r>
      <w:r w:rsidR="00A91353">
        <w:rPr>
          <w:rFonts w:asciiTheme="majorHAnsi" w:hAnsiTheme="majorHAnsi" w:cstheme="majorHAnsi"/>
          <w:lang w:val="en-US"/>
        </w:rPr>
        <w:t xml:space="preserve">a </w:t>
      </w:r>
      <w:r w:rsidR="00E63616">
        <w:rPr>
          <w:rFonts w:asciiTheme="majorHAnsi" w:hAnsiTheme="majorHAnsi" w:cstheme="majorHAnsi"/>
          <w:lang w:val="en-US"/>
        </w:rPr>
        <w:t>settlement consisting of the commitments of the Football Association Premier League Limited.</w:t>
      </w:r>
      <w:r w:rsidR="00E63616">
        <w:rPr>
          <w:rStyle w:val="FootnoteReference"/>
          <w:rFonts w:asciiTheme="majorHAnsi" w:hAnsiTheme="majorHAnsi" w:cstheme="majorHAnsi"/>
          <w:lang w:val="en-US"/>
        </w:rPr>
        <w:footnoteReference w:id="43"/>
      </w:r>
      <w:r w:rsidR="00630A0B">
        <w:rPr>
          <w:rFonts w:asciiTheme="majorHAnsi" w:hAnsiTheme="majorHAnsi" w:cstheme="majorHAnsi"/>
          <w:lang w:val="en-US"/>
        </w:rPr>
        <w:t xml:space="preserve"> Although the essential aim of the EU intervention was to prevent the monopoly to broadcast live Premier League matches through ‘no single purchaser’ rule, the result (albeit limited)</w:t>
      </w:r>
      <w:r w:rsidR="00630A0B">
        <w:rPr>
          <w:rStyle w:val="FootnoteReference"/>
          <w:rFonts w:asciiTheme="majorHAnsi" w:hAnsiTheme="majorHAnsi" w:cstheme="majorHAnsi"/>
          <w:lang w:val="en-US"/>
        </w:rPr>
        <w:footnoteReference w:id="44"/>
      </w:r>
      <w:r w:rsidR="00630A0B">
        <w:rPr>
          <w:rFonts w:asciiTheme="majorHAnsi" w:hAnsiTheme="majorHAnsi" w:cstheme="majorHAnsi"/>
          <w:lang w:val="en-US"/>
        </w:rPr>
        <w:t xml:space="preserve"> was the involvement of other broadcasters to this </w:t>
      </w:r>
      <w:r w:rsidR="003E393F">
        <w:rPr>
          <w:rFonts w:asciiTheme="majorHAnsi" w:hAnsiTheme="majorHAnsi" w:cstheme="majorHAnsi"/>
          <w:lang w:val="en-US"/>
        </w:rPr>
        <w:t>premium</w:t>
      </w:r>
      <w:r w:rsidR="00630A0B">
        <w:rPr>
          <w:rFonts w:asciiTheme="majorHAnsi" w:hAnsiTheme="majorHAnsi" w:cstheme="majorHAnsi"/>
          <w:lang w:val="en-US"/>
        </w:rPr>
        <w:t xml:space="preserve"> market.</w:t>
      </w:r>
      <w:r w:rsidR="005E7B28">
        <w:rPr>
          <w:rFonts w:asciiTheme="majorHAnsi" w:hAnsiTheme="majorHAnsi" w:cstheme="majorHAnsi"/>
          <w:lang w:val="en-US"/>
        </w:rPr>
        <w:t xml:space="preserve"> </w:t>
      </w:r>
    </w:p>
    <w:p w:rsidR="00A91353" w:rsidRDefault="00A91353" w:rsidP="00250FBC">
      <w:pPr>
        <w:spacing w:line="360" w:lineRule="auto"/>
        <w:jc w:val="both"/>
        <w:rPr>
          <w:rFonts w:asciiTheme="majorHAnsi" w:hAnsiTheme="majorHAnsi" w:cstheme="majorHAnsi"/>
          <w:lang w:val="en-US"/>
        </w:rPr>
      </w:pPr>
    </w:p>
    <w:p w:rsidR="001A0AFC" w:rsidRDefault="00A91353" w:rsidP="00250FBC">
      <w:pPr>
        <w:spacing w:line="360" w:lineRule="auto"/>
        <w:jc w:val="both"/>
        <w:rPr>
          <w:rFonts w:asciiTheme="majorHAnsi" w:hAnsiTheme="majorHAnsi" w:cstheme="majorHAnsi"/>
          <w:lang w:val="en-US"/>
        </w:rPr>
      </w:pPr>
      <w:r>
        <w:rPr>
          <w:rFonts w:asciiTheme="majorHAnsi" w:hAnsiTheme="majorHAnsi" w:cstheme="majorHAnsi"/>
          <w:lang w:val="en-US"/>
        </w:rPr>
        <w:tab/>
      </w:r>
      <w:r w:rsidR="005E7B28">
        <w:rPr>
          <w:rFonts w:asciiTheme="majorHAnsi" w:hAnsiTheme="majorHAnsi" w:cstheme="majorHAnsi"/>
          <w:lang w:val="en-US"/>
        </w:rPr>
        <w:t xml:space="preserve">As such, enforcing access to the football </w:t>
      </w:r>
      <w:r>
        <w:rPr>
          <w:rFonts w:asciiTheme="majorHAnsi" w:hAnsiTheme="majorHAnsi" w:cstheme="majorHAnsi"/>
          <w:lang w:val="en-US"/>
        </w:rPr>
        <w:t xml:space="preserve">broadcasting </w:t>
      </w:r>
      <w:r w:rsidR="005E7B28">
        <w:rPr>
          <w:rFonts w:asciiTheme="majorHAnsi" w:hAnsiTheme="majorHAnsi" w:cstheme="majorHAnsi"/>
          <w:lang w:val="en-US"/>
        </w:rPr>
        <w:t xml:space="preserve">market, which means </w:t>
      </w:r>
      <w:r w:rsidR="005F4C2E">
        <w:rPr>
          <w:rFonts w:asciiTheme="majorHAnsi" w:hAnsiTheme="majorHAnsi" w:cstheme="majorHAnsi"/>
          <w:lang w:val="en-US"/>
        </w:rPr>
        <w:t>a</w:t>
      </w:r>
      <w:r w:rsidR="005E7B28">
        <w:rPr>
          <w:rFonts w:asciiTheme="majorHAnsi" w:hAnsiTheme="majorHAnsi" w:cstheme="majorHAnsi"/>
          <w:lang w:val="en-US"/>
        </w:rPr>
        <w:t xml:space="preserve"> high-level audience and advertising revenue, makes</w:t>
      </w:r>
      <w:r>
        <w:rPr>
          <w:rFonts w:asciiTheme="majorHAnsi" w:hAnsiTheme="majorHAnsi" w:cstheme="majorHAnsi"/>
          <w:lang w:val="en-US"/>
        </w:rPr>
        <w:t xml:space="preserve"> an</w:t>
      </w:r>
      <w:r w:rsidR="005E7B28">
        <w:rPr>
          <w:rFonts w:asciiTheme="majorHAnsi" w:hAnsiTheme="majorHAnsi" w:cstheme="majorHAnsi"/>
          <w:lang w:val="en-US"/>
        </w:rPr>
        <w:t xml:space="preserve"> indirect but yet positive contribution to media pluralism in two aspects: It assists other companies to get their share of the cake, which otherwise would be possessed by the dominant player (in this case BSkyB) and reinforce its position even further</w:t>
      </w:r>
      <w:r>
        <w:rPr>
          <w:rFonts w:asciiTheme="majorHAnsi" w:hAnsiTheme="majorHAnsi" w:cstheme="majorHAnsi"/>
          <w:lang w:val="en-US"/>
        </w:rPr>
        <w:t xml:space="preserve"> </w:t>
      </w:r>
      <w:r w:rsidR="005E7B28">
        <w:rPr>
          <w:rFonts w:asciiTheme="majorHAnsi" w:hAnsiTheme="majorHAnsi" w:cstheme="majorHAnsi"/>
          <w:lang w:val="en-US"/>
        </w:rPr>
        <w:t>and therefore</w:t>
      </w:r>
      <w:r w:rsidR="00AE1FDE">
        <w:rPr>
          <w:rFonts w:asciiTheme="majorHAnsi" w:hAnsiTheme="majorHAnsi" w:cstheme="majorHAnsi"/>
          <w:lang w:val="en-US"/>
        </w:rPr>
        <w:t>, it</w:t>
      </w:r>
      <w:r w:rsidR="005E7B28">
        <w:rPr>
          <w:rFonts w:asciiTheme="majorHAnsi" w:hAnsiTheme="majorHAnsi" w:cstheme="majorHAnsi"/>
          <w:lang w:val="en-US"/>
        </w:rPr>
        <w:t xml:space="preserve"> leads to a potential increase in </w:t>
      </w:r>
      <w:r w:rsidR="00AE1FDE">
        <w:rPr>
          <w:rFonts w:asciiTheme="majorHAnsi" w:hAnsiTheme="majorHAnsi" w:cstheme="majorHAnsi"/>
          <w:lang w:val="en-US"/>
        </w:rPr>
        <w:t>external</w:t>
      </w:r>
      <w:r w:rsidR="005E7B28">
        <w:rPr>
          <w:rFonts w:asciiTheme="majorHAnsi" w:hAnsiTheme="majorHAnsi" w:cstheme="majorHAnsi"/>
          <w:lang w:val="en-US"/>
        </w:rPr>
        <w:t xml:space="preserve"> pluralism.</w:t>
      </w:r>
      <w:r w:rsidR="005E7B28">
        <w:rPr>
          <w:rStyle w:val="FootnoteReference"/>
          <w:rFonts w:asciiTheme="majorHAnsi" w:hAnsiTheme="majorHAnsi" w:cstheme="majorHAnsi"/>
          <w:lang w:val="en-US"/>
        </w:rPr>
        <w:footnoteReference w:id="45"/>
      </w:r>
      <w:r w:rsidR="005E7B28">
        <w:rPr>
          <w:rFonts w:asciiTheme="majorHAnsi" w:hAnsiTheme="majorHAnsi" w:cstheme="majorHAnsi"/>
          <w:lang w:val="en-US"/>
        </w:rPr>
        <w:t xml:space="preserve"> </w:t>
      </w:r>
      <w:r w:rsidR="00516E90">
        <w:rPr>
          <w:rFonts w:asciiTheme="majorHAnsi" w:hAnsiTheme="majorHAnsi" w:cstheme="majorHAnsi"/>
          <w:lang w:val="en-US"/>
        </w:rPr>
        <w:t xml:space="preserve">Besides, the additional </w:t>
      </w:r>
      <w:r>
        <w:rPr>
          <w:rFonts w:asciiTheme="majorHAnsi" w:hAnsiTheme="majorHAnsi" w:cstheme="majorHAnsi"/>
          <w:lang w:val="en-US"/>
        </w:rPr>
        <w:t>pecuniary resource</w:t>
      </w:r>
      <w:r w:rsidR="00516E90">
        <w:rPr>
          <w:rFonts w:asciiTheme="majorHAnsi" w:hAnsiTheme="majorHAnsi" w:cstheme="majorHAnsi"/>
          <w:lang w:val="en-US"/>
        </w:rPr>
        <w:t xml:space="preserve"> will possibly conduce the other broadcasters to produce </w:t>
      </w:r>
      <w:r w:rsidR="00B46946">
        <w:rPr>
          <w:rFonts w:asciiTheme="majorHAnsi" w:hAnsiTheme="majorHAnsi" w:cstheme="majorHAnsi"/>
          <w:lang w:val="en-US"/>
        </w:rPr>
        <w:t>fresh</w:t>
      </w:r>
      <w:r w:rsidR="00516E90">
        <w:rPr>
          <w:rFonts w:asciiTheme="majorHAnsi" w:hAnsiTheme="majorHAnsi" w:cstheme="majorHAnsi"/>
          <w:lang w:val="en-US"/>
        </w:rPr>
        <w:t xml:space="preserve"> content </w:t>
      </w:r>
      <w:r>
        <w:rPr>
          <w:rFonts w:asciiTheme="majorHAnsi" w:hAnsiTheme="majorHAnsi" w:cstheme="majorHAnsi"/>
          <w:lang w:val="en-US"/>
        </w:rPr>
        <w:t xml:space="preserve">or acquisition of new ones </w:t>
      </w:r>
      <w:r w:rsidR="00516E90">
        <w:rPr>
          <w:rFonts w:asciiTheme="majorHAnsi" w:hAnsiTheme="majorHAnsi" w:cstheme="majorHAnsi"/>
          <w:lang w:val="en-US"/>
        </w:rPr>
        <w:t>and therefore, contribute to internal pluralism by increasing the number of available content offered by various broadcasters.</w:t>
      </w:r>
      <w:r w:rsidR="00516E90">
        <w:rPr>
          <w:rStyle w:val="FootnoteReference"/>
          <w:rFonts w:asciiTheme="majorHAnsi" w:hAnsiTheme="majorHAnsi" w:cstheme="majorHAnsi"/>
          <w:lang w:val="en-US"/>
        </w:rPr>
        <w:footnoteReference w:id="46"/>
      </w:r>
      <w:r>
        <w:rPr>
          <w:rFonts w:asciiTheme="majorHAnsi" w:hAnsiTheme="majorHAnsi" w:cstheme="majorHAnsi"/>
          <w:lang w:val="en-US"/>
        </w:rPr>
        <w:t xml:space="preserve"> Indeed, the recent entry of Amazon to Premier League rights attracted a high number of audience</w:t>
      </w:r>
      <w:r w:rsidR="00B420F7">
        <w:rPr>
          <w:rFonts w:asciiTheme="majorHAnsi" w:hAnsiTheme="majorHAnsi" w:cstheme="majorHAnsi"/>
          <w:lang w:val="en-US"/>
        </w:rPr>
        <w:t>s</w:t>
      </w:r>
      <w:r>
        <w:rPr>
          <w:rFonts w:asciiTheme="majorHAnsi" w:hAnsiTheme="majorHAnsi" w:cstheme="majorHAnsi"/>
          <w:lang w:val="en-US"/>
        </w:rPr>
        <w:t xml:space="preserve"> to its video-on-demand service,</w:t>
      </w:r>
      <w:r>
        <w:rPr>
          <w:rStyle w:val="FootnoteReference"/>
          <w:rFonts w:asciiTheme="majorHAnsi" w:hAnsiTheme="majorHAnsi" w:cstheme="majorHAnsi"/>
          <w:lang w:val="en-US"/>
        </w:rPr>
        <w:footnoteReference w:id="47"/>
      </w:r>
      <w:r>
        <w:rPr>
          <w:rFonts w:asciiTheme="majorHAnsi" w:hAnsiTheme="majorHAnsi" w:cstheme="majorHAnsi"/>
          <w:lang w:val="en-US"/>
        </w:rPr>
        <w:t xml:space="preserve"> which will likely lead to an increase in the number of its content.</w:t>
      </w:r>
      <w:r w:rsidR="00000AD7">
        <w:rPr>
          <w:rFonts w:asciiTheme="majorHAnsi" w:hAnsiTheme="majorHAnsi" w:cstheme="majorHAnsi"/>
          <w:lang w:val="en-US"/>
        </w:rPr>
        <w:t xml:space="preserve"> Nevertheless, as noted by Komorek, it is crucial in the media sector to prevent monopolies from ever being established</w:t>
      </w:r>
      <w:r w:rsidR="00000AD7">
        <w:rPr>
          <w:rStyle w:val="FootnoteReference"/>
          <w:rFonts w:asciiTheme="majorHAnsi" w:hAnsiTheme="majorHAnsi" w:cstheme="majorHAnsi"/>
          <w:lang w:val="en-US"/>
        </w:rPr>
        <w:footnoteReference w:id="48"/>
      </w:r>
      <w:r w:rsidR="00000AD7">
        <w:rPr>
          <w:rFonts w:asciiTheme="majorHAnsi" w:hAnsiTheme="majorHAnsi" w:cstheme="majorHAnsi"/>
          <w:lang w:val="en-US"/>
        </w:rPr>
        <w:t xml:space="preserve"> and therefore, to take adequate measures to preclude Amazon from being the new BSkyB. </w:t>
      </w:r>
    </w:p>
    <w:p w:rsidR="00477531" w:rsidRDefault="00477531" w:rsidP="00250FBC">
      <w:pPr>
        <w:spacing w:line="360" w:lineRule="auto"/>
        <w:jc w:val="both"/>
        <w:rPr>
          <w:rFonts w:asciiTheme="majorHAnsi" w:hAnsiTheme="majorHAnsi" w:cstheme="majorHAnsi"/>
          <w:lang w:val="en-US"/>
        </w:rPr>
      </w:pPr>
      <w:r>
        <w:rPr>
          <w:rFonts w:asciiTheme="majorHAnsi" w:hAnsiTheme="majorHAnsi" w:cstheme="majorHAnsi"/>
          <w:lang w:val="en-US"/>
        </w:rPr>
        <w:lastRenderedPageBreak/>
        <w:tab/>
      </w:r>
      <w:r w:rsidR="00AB2C9B">
        <w:rPr>
          <w:rFonts w:asciiTheme="majorHAnsi" w:hAnsiTheme="majorHAnsi" w:cstheme="majorHAnsi"/>
          <w:lang w:val="en-US"/>
        </w:rPr>
        <w:t xml:space="preserve">Another rare example of an explicit mention of media pluralism in the EU legislation is article 21(4) of the EU Merger Regulation. </w:t>
      </w:r>
      <w:r w:rsidR="0069453B">
        <w:rPr>
          <w:rFonts w:asciiTheme="majorHAnsi" w:hAnsiTheme="majorHAnsi" w:cstheme="majorHAnsi"/>
          <w:lang w:val="en-US"/>
        </w:rPr>
        <w:t>In principle, the jurisdiction over concentrations, either in the form of a merger or acquisition, with a community dimension belongs solely to the EC.</w:t>
      </w:r>
      <w:r w:rsidR="0069453B">
        <w:rPr>
          <w:rStyle w:val="FootnoteReference"/>
          <w:rFonts w:asciiTheme="majorHAnsi" w:hAnsiTheme="majorHAnsi" w:cstheme="majorHAnsi"/>
          <w:lang w:val="en-US"/>
        </w:rPr>
        <w:footnoteReference w:id="49"/>
      </w:r>
      <w:r w:rsidR="0069453B">
        <w:rPr>
          <w:rFonts w:asciiTheme="majorHAnsi" w:hAnsiTheme="majorHAnsi" w:cstheme="majorHAnsi"/>
          <w:lang w:val="en-US"/>
        </w:rPr>
        <w:t xml:space="preserve">  The ‘legitimate interest’ exception to </w:t>
      </w:r>
      <w:r w:rsidR="00925D00">
        <w:rPr>
          <w:rFonts w:asciiTheme="majorHAnsi" w:hAnsiTheme="majorHAnsi" w:cstheme="majorHAnsi"/>
          <w:lang w:val="en-US"/>
        </w:rPr>
        <w:t>the main</w:t>
      </w:r>
      <w:r w:rsidR="0069453B">
        <w:rPr>
          <w:rFonts w:asciiTheme="majorHAnsi" w:hAnsiTheme="majorHAnsi" w:cstheme="majorHAnsi"/>
          <w:lang w:val="en-US"/>
        </w:rPr>
        <w:t xml:space="preserve"> principle allows Member States to review, prevent or set further conditions to media concentrations, even if they were approved by the EC on competition grounds, to protect </w:t>
      </w:r>
      <w:r w:rsidR="00B420F7">
        <w:rPr>
          <w:rFonts w:asciiTheme="majorHAnsi" w:hAnsiTheme="majorHAnsi" w:cstheme="majorHAnsi"/>
          <w:lang w:val="en-US"/>
        </w:rPr>
        <w:t xml:space="preserve">the </w:t>
      </w:r>
      <w:r w:rsidR="0069453B">
        <w:rPr>
          <w:rFonts w:asciiTheme="majorHAnsi" w:hAnsiTheme="majorHAnsi" w:cstheme="majorHAnsi"/>
          <w:lang w:val="en-US"/>
        </w:rPr>
        <w:t>legitimate interest of media pluralism.</w:t>
      </w:r>
      <w:r w:rsidR="0069453B">
        <w:rPr>
          <w:rStyle w:val="FootnoteReference"/>
          <w:rFonts w:asciiTheme="majorHAnsi" w:hAnsiTheme="majorHAnsi" w:cstheme="majorHAnsi"/>
          <w:lang w:val="en-US"/>
        </w:rPr>
        <w:footnoteReference w:id="50"/>
      </w:r>
      <w:r w:rsidR="00925D00">
        <w:rPr>
          <w:rFonts w:asciiTheme="majorHAnsi" w:hAnsiTheme="majorHAnsi" w:cstheme="majorHAnsi"/>
          <w:lang w:val="en-US"/>
        </w:rPr>
        <w:t xml:space="preserve"> While this exception presents a theoretical mechanism for</w:t>
      </w:r>
      <w:r w:rsidR="00B420F7">
        <w:rPr>
          <w:rFonts w:asciiTheme="majorHAnsi" w:hAnsiTheme="majorHAnsi" w:cstheme="majorHAnsi"/>
          <w:lang w:val="en-US"/>
        </w:rPr>
        <w:t xml:space="preserve"> the</w:t>
      </w:r>
      <w:r w:rsidR="00925D00">
        <w:rPr>
          <w:rFonts w:asciiTheme="majorHAnsi" w:hAnsiTheme="majorHAnsi" w:cstheme="majorHAnsi"/>
          <w:lang w:val="en-US"/>
        </w:rPr>
        <w:t xml:space="preserve"> protection of media pluralism, which is not taken into account in the analysis of the EC on competition grounds, it has been rarely used in practice.</w:t>
      </w:r>
      <w:r w:rsidR="00925D00">
        <w:rPr>
          <w:rStyle w:val="FootnoteReference"/>
          <w:rFonts w:asciiTheme="majorHAnsi" w:hAnsiTheme="majorHAnsi" w:cstheme="majorHAnsi"/>
          <w:lang w:val="en-US"/>
        </w:rPr>
        <w:footnoteReference w:id="51"/>
      </w:r>
    </w:p>
    <w:p w:rsidR="00B420F7" w:rsidRDefault="00B420F7" w:rsidP="00250FBC">
      <w:pPr>
        <w:spacing w:line="360" w:lineRule="auto"/>
        <w:jc w:val="both"/>
        <w:rPr>
          <w:rFonts w:asciiTheme="majorHAnsi" w:hAnsiTheme="majorHAnsi" w:cstheme="majorHAnsi"/>
          <w:lang w:val="en-US"/>
        </w:rPr>
      </w:pPr>
    </w:p>
    <w:p w:rsidR="00B420F7" w:rsidRDefault="00B420F7" w:rsidP="00250FBC">
      <w:pPr>
        <w:spacing w:line="360" w:lineRule="auto"/>
        <w:jc w:val="both"/>
        <w:rPr>
          <w:rFonts w:asciiTheme="majorHAnsi" w:hAnsiTheme="majorHAnsi" w:cstheme="majorHAnsi"/>
          <w:lang w:val="en-US"/>
        </w:rPr>
      </w:pPr>
      <w:r>
        <w:rPr>
          <w:rFonts w:asciiTheme="majorHAnsi" w:hAnsiTheme="majorHAnsi" w:cstheme="majorHAnsi"/>
          <w:lang w:val="en-US"/>
        </w:rPr>
        <w:tab/>
      </w:r>
      <w:r w:rsidR="002D7047">
        <w:rPr>
          <w:rFonts w:asciiTheme="majorHAnsi" w:hAnsiTheme="majorHAnsi" w:cstheme="majorHAnsi"/>
          <w:lang w:val="en-US"/>
        </w:rPr>
        <w:t xml:space="preserve">As yet, the only case in which article 21(4) of the EU Merger Regulation explicitly stressed by the EC is </w:t>
      </w:r>
      <w:r w:rsidR="0059131B" w:rsidRPr="0059131B">
        <w:rPr>
          <w:rFonts w:asciiTheme="majorHAnsi" w:hAnsiTheme="majorHAnsi" w:cstheme="majorHAnsi"/>
          <w:lang w:val="en-US"/>
        </w:rPr>
        <w:t>the</w:t>
      </w:r>
      <w:r w:rsidR="0059131B" w:rsidRPr="0059131B">
        <w:rPr>
          <w:rFonts w:asciiTheme="majorHAnsi" w:hAnsiTheme="majorHAnsi" w:cstheme="majorHAnsi"/>
          <w:i/>
          <w:lang w:val="en-US"/>
        </w:rPr>
        <w:t xml:space="preserve"> </w:t>
      </w:r>
      <w:r w:rsidR="002D7047" w:rsidRPr="0059131B">
        <w:rPr>
          <w:rFonts w:asciiTheme="majorHAnsi" w:hAnsiTheme="majorHAnsi" w:cstheme="majorHAnsi"/>
          <w:i/>
          <w:lang w:val="en-US"/>
        </w:rPr>
        <w:t>Newspaper Publishing</w:t>
      </w:r>
      <w:r w:rsidR="002D7047">
        <w:rPr>
          <w:rFonts w:asciiTheme="majorHAnsi" w:hAnsiTheme="majorHAnsi" w:cstheme="majorHAnsi"/>
          <w:lang w:val="en-US"/>
        </w:rPr>
        <w:t xml:space="preserve"> case.</w:t>
      </w:r>
      <w:r w:rsidR="002D7047">
        <w:rPr>
          <w:rStyle w:val="FootnoteReference"/>
          <w:rFonts w:asciiTheme="majorHAnsi" w:hAnsiTheme="majorHAnsi" w:cstheme="majorHAnsi"/>
          <w:lang w:val="en-US"/>
        </w:rPr>
        <w:footnoteReference w:id="52"/>
      </w:r>
      <w:r w:rsidR="0059131B">
        <w:rPr>
          <w:rFonts w:asciiTheme="majorHAnsi" w:hAnsiTheme="majorHAnsi" w:cstheme="majorHAnsi"/>
          <w:lang w:val="en-US"/>
        </w:rPr>
        <w:t xml:space="preserve"> The EC, while clarifying the acquisition of joint control of Newspaper Publishing by PRISA, Espresso</w:t>
      </w:r>
      <w:r w:rsidR="00D11914">
        <w:rPr>
          <w:rFonts w:asciiTheme="majorHAnsi" w:hAnsiTheme="majorHAnsi" w:cstheme="majorHAnsi"/>
          <w:lang w:val="en-US"/>
        </w:rPr>
        <w:t>,</w:t>
      </w:r>
      <w:r w:rsidR="0059131B">
        <w:rPr>
          <w:rFonts w:asciiTheme="majorHAnsi" w:hAnsiTheme="majorHAnsi" w:cstheme="majorHAnsi"/>
          <w:lang w:val="en-US"/>
        </w:rPr>
        <w:t xml:space="preserve"> and MGN on competition grounds, referred to the ‘legitimate interest’ exception and </w:t>
      </w:r>
      <w:r w:rsidR="00D11914">
        <w:rPr>
          <w:rFonts w:asciiTheme="majorHAnsi" w:hAnsiTheme="majorHAnsi" w:cstheme="majorHAnsi"/>
          <w:lang w:val="en-US"/>
        </w:rPr>
        <w:t>underlined</w:t>
      </w:r>
      <w:r w:rsidR="0059131B">
        <w:rPr>
          <w:rFonts w:asciiTheme="majorHAnsi" w:hAnsiTheme="majorHAnsi" w:cstheme="majorHAnsi"/>
          <w:lang w:val="en-US"/>
        </w:rPr>
        <w:t xml:space="preserve"> that the proposed acquisition involves concerns on the accurate presentation of news and freedom of expression, therefore the formal consent of the U.K. authorities is required.</w:t>
      </w:r>
      <w:r w:rsidR="0059131B">
        <w:rPr>
          <w:rStyle w:val="FootnoteReference"/>
          <w:rFonts w:asciiTheme="majorHAnsi" w:hAnsiTheme="majorHAnsi" w:cstheme="majorHAnsi"/>
          <w:lang w:val="en-US"/>
        </w:rPr>
        <w:footnoteReference w:id="53"/>
      </w:r>
      <w:r w:rsidR="00D11914">
        <w:rPr>
          <w:rFonts w:asciiTheme="majorHAnsi" w:hAnsiTheme="majorHAnsi" w:cstheme="majorHAnsi"/>
          <w:lang w:val="en-US"/>
        </w:rPr>
        <w:t xml:space="preserve"> </w:t>
      </w:r>
      <w:r w:rsidR="00F37A64">
        <w:rPr>
          <w:rFonts w:asciiTheme="majorHAnsi" w:hAnsiTheme="majorHAnsi" w:cstheme="majorHAnsi"/>
          <w:lang w:val="en-US"/>
        </w:rPr>
        <w:t>The latter eventually prevented the acquisition due to media pluralism concerns.</w:t>
      </w:r>
      <w:r w:rsidR="00F37A64">
        <w:rPr>
          <w:rStyle w:val="FootnoteReference"/>
          <w:rFonts w:asciiTheme="majorHAnsi" w:hAnsiTheme="majorHAnsi" w:cstheme="majorHAnsi"/>
          <w:lang w:val="en-US"/>
        </w:rPr>
        <w:footnoteReference w:id="54"/>
      </w:r>
      <w:r w:rsidR="00F37A64">
        <w:rPr>
          <w:rFonts w:asciiTheme="majorHAnsi" w:hAnsiTheme="majorHAnsi" w:cstheme="majorHAnsi"/>
          <w:lang w:val="en-US"/>
        </w:rPr>
        <w:t xml:space="preserve"> Komorek noted that </w:t>
      </w:r>
      <w:r w:rsidR="00E475A7">
        <w:rPr>
          <w:rFonts w:asciiTheme="majorHAnsi" w:hAnsiTheme="majorHAnsi" w:cstheme="majorHAnsi"/>
          <w:lang w:val="en-US"/>
        </w:rPr>
        <w:t>the assessment of the EC</w:t>
      </w:r>
      <w:r w:rsidR="0055717D">
        <w:rPr>
          <w:rFonts w:asciiTheme="majorHAnsi" w:hAnsiTheme="majorHAnsi" w:cstheme="majorHAnsi"/>
          <w:lang w:val="en-US"/>
        </w:rPr>
        <w:t>,</w:t>
      </w:r>
      <w:r w:rsidR="00E475A7">
        <w:rPr>
          <w:rFonts w:asciiTheme="majorHAnsi" w:hAnsiTheme="majorHAnsi" w:cstheme="majorHAnsi"/>
          <w:lang w:val="en-US"/>
        </w:rPr>
        <w:t xml:space="preserve"> </w:t>
      </w:r>
      <w:r w:rsidR="00B46946">
        <w:rPr>
          <w:rFonts w:asciiTheme="majorHAnsi" w:hAnsiTheme="majorHAnsi" w:cstheme="majorHAnsi"/>
          <w:lang w:val="en-US"/>
        </w:rPr>
        <w:t>in this case</w:t>
      </w:r>
      <w:r w:rsidR="0055717D">
        <w:rPr>
          <w:rFonts w:asciiTheme="majorHAnsi" w:hAnsiTheme="majorHAnsi" w:cstheme="majorHAnsi"/>
          <w:lang w:val="en-US"/>
        </w:rPr>
        <w:t>,</w:t>
      </w:r>
      <w:r w:rsidR="00B46946">
        <w:rPr>
          <w:rFonts w:asciiTheme="majorHAnsi" w:hAnsiTheme="majorHAnsi" w:cstheme="majorHAnsi"/>
          <w:lang w:val="en-US"/>
        </w:rPr>
        <w:t xml:space="preserve"> </w:t>
      </w:r>
      <w:r w:rsidR="00E475A7">
        <w:rPr>
          <w:rFonts w:asciiTheme="majorHAnsi" w:hAnsiTheme="majorHAnsi" w:cstheme="majorHAnsi"/>
          <w:lang w:val="en-US"/>
        </w:rPr>
        <w:t>was also based on a pluralist perspective</w:t>
      </w:r>
      <w:r w:rsidR="00660D9F">
        <w:rPr>
          <w:rFonts w:asciiTheme="majorHAnsi" w:hAnsiTheme="majorHAnsi" w:cstheme="majorHAnsi"/>
          <w:lang w:val="en-US"/>
        </w:rPr>
        <w:t xml:space="preserve"> and </w:t>
      </w:r>
      <w:r w:rsidR="00E475A7">
        <w:rPr>
          <w:rFonts w:asciiTheme="majorHAnsi" w:hAnsiTheme="majorHAnsi" w:cstheme="majorHAnsi"/>
          <w:lang w:val="en-US"/>
        </w:rPr>
        <w:t>as the EC cannot intervene itself, it drew the attention of the U.K. authorities and indeed, obliged the latter to act against media concentration.</w:t>
      </w:r>
      <w:r w:rsidR="00E475A7">
        <w:rPr>
          <w:rStyle w:val="FootnoteReference"/>
          <w:rFonts w:asciiTheme="majorHAnsi" w:hAnsiTheme="majorHAnsi" w:cstheme="majorHAnsi"/>
          <w:lang w:val="en-US"/>
        </w:rPr>
        <w:footnoteReference w:id="55"/>
      </w:r>
    </w:p>
    <w:p w:rsidR="0037189B" w:rsidRDefault="0037189B" w:rsidP="009C3220"/>
    <w:p w:rsidR="00B420F7" w:rsidRDefault="00B420F7" w:rsidP="009A3283">
      <w:pPr>
        <w:spacing w:line="360" w:lineRule="auto"/>
        <w:jc w:val="both"/>
        <w:rPr>
          <w:lang w:val="en-US"/>
        </w:rPr>
      </w:pPr>
      <w:r>
        <w:tab/>
      </w:r>
      <w:r w:rsidR="00660D9F" w:rsidRPr="009A3283">
        <w:rPr>
          <w:rFonts w:asciiTheme="majorHAnsi" w:hAnsiTheme="majorHAnsi" w:cstheme="majorHAnsi"/>
          <w:lang w:val="en-US"/>
        </w:rPr>
        <w:t xml:space="preserve">While </w:t>
      </w:r>
      <w:r w:rsidR="009A3283" w:rsidRPr="009A3283">
        <w:rPr>
          <w:rFonts w:asciiTheme="majorHAnsi" w:hAnsiTheme="majorHAnsi" w:cstheme="majorHAnsi"/>
          <w:lang w:val="en-US"/>
        </w:rPr>
        <w:t>the competition law instruments, albeit indirect, are useful in fostering media pluralism</w:t>
      </w:r>
      <w:r w:rsidR="009A3283">
        <w:rPr>
          <w:lang w:val="en-US"/>
        </w:rPr>
        <w:t xml:space="preserve"> by preventing the formation of monopolies, dispersing the existing ones or </w:t>
      </w:r>
      <w:r w:rsidR="00362B06">
        <w:rPr>
          <w:lang w:val="en-US"/>
        </w:rPr>
        <w:t xml:space="preserve">preventing </w:t>
      </w:r>
      <w:r w:rsidR="009A3283">
        <w:rPr>
          <w:lang w:val="en-US"/>
        </w:rPr>
        <w:t>the emergence of boundaries to access to content and distribution channels,</w:t>
      </w:r>
      <w:r w:rsidR="009A3283">
        <w:rPr>
          <w:rStyle w:val="FootnoteReference"/>
          <w:lang w:val="en-US"/>
        </w:rPr>
        <w:footnoteReference w:id="56"/>
      </w:r>
      <w:r w:rsidR="009A3283">
        <w:rPr>
          <w:lang w:val="en-US"/>
        </w:rPr>
        <w:t xml:space="preserve"> it has not prohibited the media market in the EU from </w:t>
      </w:r>
      <w:r w:rsidR="0055717D">
        <w:rPr>
          <w:lang w:val="en-US"/>
        </w:rPr>
        <w:t xml:space="preserve">being </w:t>
      </w:r>
      <w:r w:rsidR="009A3283">
        <w:rPr>
          <w:lang w:val="en-US"/>
        </w:rPr>
        <w:t>highly concentrated</w:t>
      </w:r>
      <w:r w:rsidR="009E23AE">
        <w:rPr>
          <w:lang w:val="en-US"/>
        </w:rPr>
        <w:t xml:space="preserve"> in terms of ownership</w:t>
      </w:r>
      <w:r w:rsidR="009A3283">
        <w:rPr>
          <w:lang w:val="en-US"/>
        </w:rPr>
        <w:t>.</w:t>
      </w:r>
      <w:r w:rsidR="009A3283">
        <w:rPr>
          <w:rStyle w:val="FootnoteReference"/>
          <w:lang w:val="en-US"/>
        </w:rPr>
        <w:footnoteReference w:id="57"/>
      </w:r>
      <w:r w:rsidR="009A3283">
        <w:rPr>
          <w:lang w:val="en-US"/>
        </w:rPr>
        <w:t xml:space="preserve"> </w:t>
      </w:r>
      <w:r w:rsidR="009E23AE">
        <w:rPr>
          <w:lang w:val="en-US"/>
        </w:rPr>
        <w:lastRenderedPageBreak/>
        <w:t xml:space="preserve">According to a recent study in which </w:t>
      </w:r>
      <w:r w:rsidR="00D730D1">
        <w:rPr>
          <w:lang w:val="en-US"/>
        </w:rPr>
        <w:t xml:space="preserve">the </w:t>
      </w:r>
      <w:r w:rsidR="009E23AE">
        <w:rPr>
          <w:lang w:val="en-US"/>
        </w:rPr>
        <w:t xml:space="preserve">EU Member States are sorted on a scale from 10 (best) to 1 (lowest) on the extent of media ownership structure that ensures a pluralism of opinions, </w:t>
      </w:r>
      <w:r w:rsidR="00651FBA">
        <w:rPr>
          <w:lang w:val="en-US"/>
        </w:rPr>
        <w:t>9</w:t>
      </w:r>
      <w:r w:rsidR="009E23AE">
        <w:rPr>
          <w:lang w:val="en-US"/>
        </w:rPr>
        <w:t xml:space="preserve"> Member States scored between </w:t>
      </w:r>
      <w:r w:rsidR="00651FBA">
        <w:rPr>
          <w:lang w:val="en-US"/>
        </w:rPr>
        <w:t>3</w:t>
      </w:r>
      <w:r w:rsidR="009E23AE">
        <w:rPr>
          <w:lang w:val="en-US"/>
        </w:rPr>
        <w:t xml:space="preserve"> to </w:t>
      </w:r>
      <w:r w:rsidR="00651FBA">
        <w:rPr>
          <w:lang w:val="en-US"/>
        </w:rPr>
        <w:t>5</w:t>
      </w:r>
      <w:r w:rsidR="009E23AE">
        <w:rPr>
          <w:lang w:val="en-US"/>
        </w:rPr>
        <w:t>, in which there exist oligopolistic ownership structure.</w:t>
      </w:r>
      <w:r w:rsidR="009E23AE">
        <w:rPr>
          <w:rStyle w:val="FootnoteReference"/>
          <w:lang w:val="en-US"/>
        </w:rPr>
        <w:footnoteReference w:id="58"/>
      </w:r>
      <w:r w:rsidR="009E23AE">
        <w:rPr>
          <w:lang w:val="en-US"/>
        </w:rPr>
        <w:t xml:space="preserve"> </w:t>
      </w:r>
      <w:r w:rsidR="00651FBA">
        <w:rPr>
          <w:lang w:val="en-US"/>
        </w:rPr>
        <w:t>The overall score of the EU is 6.5 on media pluralism and 6.6 on media freedom which analyse</w:t>
      </w:r>
      <w:r w:rsidR="00D730D1">
        <w:rPr>
          <w:lang w:val="en-US"/>
        </w:rPr>
        <w:t>s</w:t>
      </w:r>
      <w:r w:rsidR="00651FBA">
        <w:rPr>
          <w:lang w:val="en-US"/>
        </w:rPr>
        <w:t xml:space="preserve"> the extent of government influence on the media.</w:t>
      </w:r>
      <w:r w:rsidR="00651FBA">
        <w:rPr>
          <w:rStyle w:val="FootnoteReference"/>
          <w:lang w:val="en-US"/>
        </w:rPr>
        <w:footnoteReference w:id="59"/>
      </w:r>
    </w:p>
    <w:p w:rsidR="00D24D4D" w:rsidRDefault="00D24D4D" w:rsidP="009A3283">
      <w:pPr>
        <w:spacing w:line="360" w:lineRule="auto"/>
        <w:jc w:val="both"/>
        <w:rPr>
          <w:lang w:val="en-US"/>
        </w:rPr>
      </w:pPr>
    </w:p>
    <w:p w:rsidR="00035676" w:rsidRPr="00660D9F" w:rsidRDefault="00D24D4D" w:rsidP="009A3283">
      <w:pPr>
        <w:spacing w:line="360" w:lineRule="auto"/>
        <w:jc w:val="both"/>
        <w:rPr>
          <w:lang w:val="en-US"/>
        </w:rPr>
      </w:pPr>
      <w:r>
        <w:rPr>
          <w:lang w:val="en-US"/>
        </w:rPr>
        <w:tab/>
        <w:t>A paramount example concerning media mergers</w:t>
      </w:r>
      <w:r w:rsidR="006F63C0">
        <w:rPr>
          <w:lang w:val="en-US"/>
        </w:rPr>
        <w:t xml:space="preserve"> at the national level </w:t>
      </w:r>
      <w:r w:rsidR="00EC187A">
        <w:rPr>
          <w:lang w:val="en-US"/>
        </w:rPr>
        <w:t xml:space="preserve">is the rules within the (revised) Competition Act 2002 of Ireland. Part 3A of the latter regulates media mergers or acquisitions, which have to be notified </w:t>
      </w:r>
      <w:r w:rsidR="000F1FAE">
        <w:rPr>
          <w:lang w:val="en-US"/>
        </w:rPr>
        <w:t xml:space="preserve">both </w:t>
      </w:r>
      <w:r w:rsidR="00EC187A">
        <w:rPr>
          <w:lang w:val="en-US"/>
        </w:rPr>
        <w:t xml:space="preserve">to Minister for Communications, Energy and Natural Resources </w:t>
      </w:r>
      <w:r w:rsidR="000F1FAE">
        <w:rPr>
          <w:lang w:val="en-US"/>
        </w:rPr>
        <w:t>and</w:t>
      </w:r>
      <w:r w:rsidR="00EC187A">
        <w:rPr>
          <w:lang w:val="en-US"/>
        </w:rPr>
        <w:t xml:space="preserve"> the Competition and Consumer Protection Commission regardless of the turnover criteria. While </w:t>
      </w:r>
      <w:r w:rsidR="006F63C0">
        <w:rPr>
          <w:lang w:val="en-US"/>
        </w:rPr>
        <w:t>the latter</w:t>
      </w:r>
      <w:r w:rsidR="00EC187A">
        <w:rPr>
          <w:lang w:val="en-US"/>
        </w:rPr>
        <w:t xml:space="preserve"> examines the </w:t>
      </w:r>
      <w:r w:rsidR="00035676">
        <w:rPr>
          <w:lang w:val="en-US"/>
        </w:rPr>
        <w:t>media mergers on competition aspects, the Minister</w:t>
      </w:r>
      <w:r w:rsidR="006F63C0">
        <w:rPr>
          <w:lang w:val="en-US"/>
        </w:rPr>
        <w:t>’s analyse is based on the</w:t>
      </w:r>
      <w:r w:rsidR="00035676">
        <w:rPr>
          <w:lang w:val="en-US"/>
        </w:rPr>
        <w:t xml:space="preserve"> diversity of content and ownership aspects. </w:t>
      </w:r>
      <w:r w:rsidR="006F63C0">
        <w:rPr>
          <w:rFonts w:asciiTheme="majorHAnsi" w:hAnsiTheme="majorHAnsi" w:cstheme="majorHAnsi"/>
          <w:lang w:val="en-US"/>
        </w:rPr>
        <w:t xml:space="preserve">In </w:t>
      </w:r>
      <w:r w:rsidR="00FF5DB4">
        <w:rPr>
          <w:rFonts w:asciiTheme="majorHAnsi" w:hAnsiTheme="majorHAnsi" w:cstheme="majorHAnsi"/>
          <w:lang w:val="en-US"/>
        </w:rPr>
        <w:t>parallel</w:t>
      </w:r>
      <w:r w:rsidR="006F63C0">
        <w:rPr>
          <w:rFonts w:asciiTheme="majorHAnsi" w:hAnsiTheme="majorHAnsi" w:cstheme="majorHAnsi"/>
          <w:lang w:val="en-US"/>
        </w:rPr>
        <w:t xml:space="preserve"> with the </w:t>
      </w:r>
      <w:r w:rsidR="006F63C0" w:rsidRPr="00953B04">
        <w:rPr>
          <w:rFonts w:asciiTheme="majorHAnsi" w:hAnsiTheme="majorHAnsi" w:cstheme="majorHAnsi"/>
          <w:lang w:val="en-US"/>
        </w:rPr>
        <w:t>recommendations in the HLGMFP and CMPF</w:t>
      </w:r>
      <w:r w:rsidR="006F63C0">
        <w:rPr>
          <w:rFonts w:asciiTheme="majorHAnsi" w:hAnsiTheme="majorHAnsi" w:cstheme="majorHAnsi"/>
          <w:lang w:val="en-US"/>
        </w:rPr>
        <w:t xml:space="preserve"> reports, such a solution can be applied at the EU level which will ensure the consideration of media pluralism in the competition law context.  </w:t>
      </w:r>
    </w:p>
    <w:p w:rsidR="00E40FED" w:rsidRDefault="00E40FED" w:rsidP="00E40FED">
      <w:pPr>
        <w:pStyle w:val="ListParagraph"/>
        <w:spacing w:line="360" w:lineRule="auto"/>
        <w:jc w:val="both"/>
        <w:rPr>
          <w:rFonts w:asciiTheme="majorHAnsi" w:hAnsiTheme="majorHAnsi" w:cstheme="majorHAnsi"/>
          <w:b/>
          <w:lang w:val="en-US"/>
        </w:rPr>
      </w:pPr>
    </w:p>
    <w:p w:rsidR="004B6E29" w:rsidRDefault="00177AD9" w:rsidP="00EC39B2">
      <w:pPr>
        <w:pStyle w:val="ListParagraph"/>
        <w:numPr>
          <w:ilvl w:val="0"/>
          <w:numId w:val="23"/>
        </w:numPr>
        <w:spacing w:line="360" w:lineRule="auto"/>
        <w:jc w:val="both"/>
        <w:rPr>
          <w:rFonts w:asciiTheme="majorHAnsi" w:hAnsiTheme="majorHAnsi" w:cstheme="majorHAnsi"/>
          <w:b/>
          <w:lang w:val="en-US"/>
        </w:rPr>
      </w:pPr>
      <w:r>
        <w:rPr>
          <w:rFonts w:asciiTheme="majorHAnsi" w:hAnsiTheme="majorHAnsi" w:cstheme="majorHAnsi"/>
          <w:b/>
          <w:lang w:val="en-US"/>
        </w:rPr>
        <w:t xml:space="preserve">Rules </w:t>
      </w:r>
      <w:r w:rsidR="00F8057B">
        <w:rPr>
          <w:rFonts w:asciiTheme="majorHAnsi" w:hAnsiTheme="majorHAnsi" w:cstheme="majorHAnsi"/>
          <w:b/>
          <w:lang w:val="en-US"/>
        </w:rPr>
        <w:t>Upholding</w:t>
      </w:r>
      <w:r>
        <w:rPr>
          <w:rFonts w:asciiTheme="majorHAnsi" w:hAnsiTheme="majorHAnsi" w:cstheme="majorHAnsi"/>
          <w:b/>
          <w:lang w:val="en-US"/>
        </w:rPr>
        <w:t xml:space="preserve"> Media Pluralism under the AVMSD</w:t>
      </w:r>
    </w:p>
    <w:p w:rsidR="004B6E29" w:rsidRDefault="004B6E29" w:rsidP="004B6E29">
      <w:pPr>
        <w:spacing w:line="360" w:lineRule="auto"/>
        <w:jc w:val="both"/>
        <w:rPr>
          <w:rFonts w:asciiTheme="majorHAnsi" w:hAnsiTheme="majorHAnsi" w:cstheme="majorHAnsi"/>
          <w:b/>
          <w:lang w:val="en-US"/>
        </w:rPr>
      </w:pPr>
    </w:p>
    <w:p w:rsidR="000D5556" w:rsidRDefault="0055785F" w:rsidP="00D52CAC">
      <w:pPr>
        <w:spacing w:line="360" w:lineRule="auto"/>
        <w:jc w:val="both"/>
        <w:rPr>
          <w:rFonts w:asciiTheme="majorHAnsi" w:hAnsiTheme="majorHAnsi" w:cstheme="majorHAnsi"/>
          <w:lang w:val="en-US"/>
        </w:rPr>
      </w:pPr>
      <w:r>
        <w:rPr>
          <w:rFonts w:asciiTheme="majorHAnsi" w:hAnsiTheme="majorHAnsi" w:cstheme="majorHAnsi"/>
          <w:b/>
          <w:lang w:val="en-US"/>
        </w:rPr>
        <w:tab/>
      </w:r>
      <w:r>
        <w:rPr>
          <w:rFonts w:asciiTheme="majorHAnsi" w:hAnsiTheme="majorHAnsi" w:cstheme="majorHAnsi"/>
          <w:lang w:val="en-US"/>
        </w:rPr>
        <w:t xml:space="preserve">One of the most important </w:t>
      </w:r>
      <w:r w:rsidR="001A0AFC">
        <w:rPr>
          <w:rFonts w:asciiTheme="majorHAnsi" w:hAnsiTheme="majorHAnsi" w:cstheme="majorHAnsi"/>
          <w:lang w:val="en-US"/>
        </w:rPr>
        <w:t>hard-law instruments</w:t>
      </w:r>
      <w:r w:rsidR="00342040">
        <w:rPr>
          <w:rFonts w:asciiTheme="majorHAnsi" w:hAnsiTheme="majorHAnsi" w:cstheme="majorHAnsi"/>
          <w:lang w:val="en-US"/>
        </w:rPr>
        <w:t xml:space="preserve"> enhancing the media pluralism</w:t>
      </w:r>
      <w:r w:rsidR="00293D03">
        <w:rPr>
          <w:rFonts w:asciiTheme="majorHAnsi" w:hAnsiTheme="majorHAnsi" w:cstheme="majorHAnsi"/>
          <w:lang w:val="en-US"/>
        </w:rPr>
        <w:t xml:space="preserve"> in the EU</w:t>
      </w:r>
      <w:r w:rsidR="00342040">
        <w:rPr>
          <w:rFonts w:asciiTheme="majorHAnsi" w:hAnsiTheme="majorHAnsi" w:cstheme="majorHAnsi"/>
          <w:lang w:val="en-US"/>
        </w:rPr>
        <w:t xml:space="preserve"> is the country of origin principle (COP)</w:t>
      </w:r>
      <w:r w:rsidR="005F249F">
        <w:rPr>
          <w:rFonts w:asciiTheme="majorHAnsi" w:hAnsiTheme="majorHAnsi" w:cstheme="majorHAnsi"/>
          <w:lang w:val="en-US"/>
        </w:rPr>
        <w:t xml:space="preserve"> under </w:t>
      </w:r>
      <w:r w:rsidR="00342040">
        <w:rPr>
          <w:rFonts w:asciiTheme="majorHAnsi" w:hAnsiTheme="majorHAnsi" w:cstheme="majorHAnsi"/>
          <w:lang w:val="en-US"/>
        </w:rPr>
        <w:t xml:space="preserve">the </w:t>
      </w:r>
      <w:r w:rsidR="0025556F">
        <w:rPr>
          <w:rFonts w:asciiTheme="majorHAnsi" w:hAnsiTheme="majorHAnsi" w:cstheme="majorHAnsi"/>
          <w:lang w:val="en-US"/>
        </w:rPr>
        <w:t>AVMSD</w:t>
      </w:r>
      <w:r w:rsidR="00922AB4">
        <w:rPr>
          <w:rFonts w:asciiTheme="majorHAnsi" w:hAnsiTheme="majorHAnsi" w:cstheme="majorHAnsi"/>
          <w:lang w:val="en-US"/>
        </w:rPr>
        <w:t>.</w:t>
      </w:r>
      <w:r w:rsidR="00DC71B2">
        <w:rPr>
          <w:rStyle w:val="FootnoteReference"/>
          <w:rFonts w:asciiTheme="majorHAnsi" w:hAnsiTheme="majorHAnsi" w:cstheme="majorHAnsi"/>
          <w:lang w:val="en-US"/>
        </w:rPr>
        <w:footnoteReference w:id="60"/>
      </w:r>
      <w:r w:rsidR="0025556F">
        <w:rPr>
          <w:rFonts w:asciiTheme="majorHAnsi" w:hAnsiTheme="majorHAnsi" w:cstheme="majorHAnsi"/>
          <w:lang w:val="en-US"/>
        </w:rPr>
        <w:t xml:space="preserve"> </w:t>
      </w:r>
      <w:r w:rsidR="00D24F4F">
        <w:rPr>
          <w:rFonts w:asciiTheme="majorHAnsi" w:hAnsiTheme="majorHAnsi" w:cstheme="majorHAnsi"/>
          <w:lang w:val="en-US"/>
        </w:rPr>
        <w:t xml:space="preserve">Regulated in articles 2 and 3 of the AVMSD, COP </w:t>
      </w:r>
      <w:r w:rsidR="006A14DB">
        <w:rPr>
          <w:rFonts w:asciiTheme="majorHAnsi" w:hAnsiTheme="majorHAnsi" w:cstheme="majorHAnsi"/>
          <w:lang w:val="en-US"/>
        </w:rPr>
        <w:t xml:space="preserve">requires </w:t>
      </w:r>
      <w:r w:rsidR="00371E5A">
        <w:rPr>
          <w:rFonts w:asciiTheme="majorHAnsi" w:hAnsiTheme="majorHAnsi" w:cstheme="majorHAnsi"/>
          <w:lang w:val="en-US"/>
        </w:rPr>
        <w:t xml:space="preserve">only </w:t>
      </w:r>
      <w:r w:rsidR="00D24F4F">
        <w:rPr>
          <w:rFonts w:asciiTheme="majorHAnsi" w:hAnsiTheme="majorHAnsi" w:cstheme="majorHAnsi"/>
          <w:lang w:val="en-US"/>
        </w:rPr>
        <w:t xml:space="preserve">the Member State of origin </w:t>
      </w:r>
      <w:r w:rsidR="006A14DB">
        <w:rPr>
          <w:rFonts w:asciiTheme="majorHAnsi" w:hAnsiTheme="majorHAnsi" w:cstheme="majorHAnsi"/>
          <w:lang w:val="en-US"/>
        </w:rPr>
        <w:t xml:space="preserve">having jurisdiction </w:t>
      </w:r>
      <w:r w:rsidR="00D24F4F">
        <w:rPr>
          <w:rFonts w:asciiTheme="majorHAnsi" w:hAnsiTheme="majorHAnsi" w:cstheme="majorHAnsi"/>
          <w:lang w:val="en-US"/>
        </w:rPr>
        <w:t>over the audiovisual media service providers (A</w:t>
      </w:r>
      <w:r w:rsidR="00371E5A">
        <w:rPr>
          <w:rFonts w:asciiTheme="majorHAnsi" w:hAnsiTheme="majorHAnsi" w:cstheme="majorHAnsi"/>
          <w:lang w:val="en-US"/>
        </w:rPr>
        <w:t xml:space="preserve">MSP) and </w:t>
      </w:r>
      <w:r w:rsidR="00831CB1">
        <w:rPr>
          <w:rFonts w:asciiTheme="majorHAnsi" w:hAnsiTheme="majorHAnsi" w:cstheme="majorHAnsi"/>
          <w:lang w:val="en-US"/>
        </w:rPr>
        <w:t xml:space="preserve">obliges </w:t>
      </w:r>
      <w:r w:rsidR="006A14DB">
        <w:rPr>
          <w:rFonts w:asciiTheme="majorHAnsi" w:hAnsiTheme="majorHAnsi" w:cstheme="majorHAnsi"/>
          <w:lang w:val="en-US"/>
        </w:rPr>
        <w:t xml:space="preserve">the receiving Member State to </w:t>
      </w:r>
      <w:r w:rsidR="00831CB1">
        <w:rPr>
          <w:rFonts w:asciiTheme="majorHAnsi" w:hAnsiTheme="majorHAnsi" w:cstheme="majorHAnsi"/>
          <w:lang w:val="en-US"/>
        </w:rPr>
        <w:t xml:space="preserve">ensure freedom of reception, not to exercise secondary control and restrict retransmission on their territories. COP, as the core </w:t>
      </w:r>
      <w:r w:rsidR="008575A5">
        <w:rPr>
          <w:rFonts w:asciiTheme="majorHAnsi" w:hAnsiTheme="majorHAnsi" w:cstheme="majorHAnsi"/>
          <w:lang w:val="en-US"/>
        </w:rPr>
        <w:t xml:space="preserve">principle </w:t>
      </w:r>
      <w:r w:rsidR="00831CB1">
        <w:rPr>
          <w:rFonts w:asciiTheme="majorHAnsi" w:hAnsiTheme="majorHAnsi" w:cstheme="majorHAnsi"/>
          <w:lang w:val="en-US"/>
        </w:rPr>
        <w:t>of the AVMSD, not only ensures the free flow of information and audiovisual program</w:t>
      </w:r>
      <w:r w:rsidR="002D12B3">
        <w:rPr>
          <w:rFonts w:asciiTheme="majorHAnsi" w:hAnsiTheme="majorHAnsi" w:cstheme="majorHAnsi"/>
          <w:lang w:val="en-US"/>
        </w:rPr>
        <w:t>s</w:t>
      </w:r>
      <w:r w:rsidR="00831CB1">
        <w:rPr>
          <w:rFonts w:asciiTheme="majorHAnsi" w:hAnsiTheme="majorHAnsi" w:cstheme="majorHAnsi"/>
          <w:lang w:val="en-US"/>
        </w:rPr>
        <w:t xml:space="preserve"> but also strengths media pluralism throughout the EU</w:t>
      </w:r>
      <w:r w:rsidR="001C164C">
        <w:rPr>
          <w:rFonts w:asciiTheme="majorHAnsi" w:hAnsiTheme="majorHAnsi" w:cstheme="majorHAnsi"/>
          <w:lang w:val="en-US"/>
        </w:rPr>
        <w:t>,</w:t>
      </w:r>
      <w:r w:rsidR="00831CB1">
        <w:rPr>
          <w:rStyle w:val="FootnoteReference"/>
          <w:rFonts w:asciiTheme="majorHAnsi" w:hAnsiTheme="majorHAnsi" w:cstheme="majorHAnsi"/>
          <w:lang w:val="en-US"/>
        </w:rPr>
        <w:footnoteReference w:id="61"/>
      </w:r>
      <w:r w:rsidR="001C164C">
        <w:rPr>
          <w:rFonts w:asciiTheme="majorHAnsi" w:hAnsiTheme="majorHAnsi" w:cstheme="majorHAnsi"/>
          <w:lang w:val="en-US"/>
        </w:rPr>
        <w:t xml:space="preserve"> by supporting the growth of the European audiovisual sector, increasing the diversity in sources of news and entertainment as well as choice and price competition.</w:t>
      </w:r>
      <w:r w:rsidR="001C164C">
        <w:rPr>
          <w:rStyle w:val="FootnoteReference"/>
          <w:rFonts w:asciiTheme="majorHAnsi" w:hAnsiTheme="majorHAnsi" w:cstheme="majorHAnsi"/>
          <w:lang w:val="en-US"/>
        </w:rPr>
        <w:footnoteReference w:id="62"/>
      </w:r>
      <w:r w:rsidR="00831CB1">
        <w:rPr>
          <w:rFonts w:asciiTheme="majorHAnsi" w:hAnsiTheme="majorHAnsi" w:cstheme="majorHAnsi"/>
          <w:lang w:val="en-US"/>
        </w:rPr>
        <w:t xml:space="preserve"> </w:t>
      </w:r>
    </w:p>
    <w:p w:rsidR="00A758F2" w:rsidRDefault="00A758F2" w:rsidP="00D52CAC">
      <w:pPr>
        <w:spacing w:line="360" w:lineRule="auto"/>
        <w:jc w:val="both"/>
        <w:rPr>
          <w:rFonts w:asciiTheme="majorHAnsi" w:hAnsiTheme="majorHAnsi" w:cstheme="majorHAnsi"/>
          <w:lang w:val="en-US"/>
        </w:rPr>
      </w:pPr>
    </w:p>
    <w:p w:rsidR="00F37FFC" w:rsidRDefault="00177AD9" w:rsidP="00D52CAC">
      <w:pPr>
        <w:spacing w:line="360" w:lineRule="auto"/>
        <w:jc w:val="both"/>
        <w:rPr>
          <w:rFonts w:asciiTheme="majorHAnsi" w:hAnsiTheme="majorHAnsi" w:cstheme="majorHAnsi"/>
          <w:lang w:val="en-US"/>
        </w:rPr>
      </w:pPr>
      <w:r>
        <w:rPr>
          <w:rFonts w:asciiTheme="majorHAnsi" w:hAnsiTheme="majorHAnsi" w:cstheme="majorHAnsi"/>
          <w:lang w:val="en-US"/>
        </w:rPr>
        <w:lastRenderedPageBreak/>
        <w:tab/>
        <w:t>However, COP also has the vulnerability to be used by AMSPs for the circumvention of stricter rules of the country that their service is targeted at.</w:t>
      </w:r>
      <w:r>
        <w:rPr>
          <w:rStyle w:val="FootnoteReference"/>
          <w:rFonts w:asciiTheme="majorHAnsi" w:hAnsiTheme="majorHAnsi" w:cstheme="majorHAnsi"/>
          <w:lang w:val="en-US"/>
        </w:rPr>
        <w:footnoteReference w:id="63"/>
      </w:r>
      <w:r>
        <w:rPr>
          <w:rFonts w:asciiTheme="majorHAnsi" w:hAnsiTheme="majorHAnsi" w:cstheme="majorHAnsi"/>
          <w:lang w:val="en-US"/>
        </w:rPr>
        <w:t xml:space="preserve"> The most obtrusive example of this </w:t>
      </w:r>
      <w:r w:rsidRPr="00177AD9">
        <w:rPr>
          <w:rFonts w:asciiTheme="majorHAnsi" w:hAnsiTheme="majorHAnsi" w:cstheme="majorHAnsi"/>
          <w:lang w:val="en-US"/>
        </w:rPr>
        <w:t>phenomenon</w:t>
      </w:r>
      <w:r>
        <w:rPr>
          <w:rFonts w:asciiTheme="majorHAnsi" w:hAnsiTheme="majorHAnsi" w:cstheme="majorHAnsi"/>
          <w:lang w:val="en-US"/>
        </w:rPr>
        <w:t xml:space="preserve"> is the AMSPs which are originating in Russia, licensed in one Member State but targeting the audience in another, mostly Baltic </w:t>
      </w:r>
      <w:r w:rsidR="008575A5">
        <w:rPr>
          <w:rFonts w:asciiTheme="majorHAnsi" w:hAnsiTheme="majorHAnsi" w:cstheme="majorHAnsi"/>
          <w:lang w:val="en-US"/>
        </w:rPr>
        <w:t>states</w:t>
      </w:r>
      <w:r>
        <w:rPr>
          <w:rFonts w:asciiTheme="majorHAnsi" w:hAnsiTheme="majorHAnsi" w:cstheme="majorHAnsi"/>
          <w:lang w:val="en-US"/>
        </w:rPr>
        <w:t xml:space="preserve"> and their involvement in hostile political propaganda, misinformation, hate speech</w:t>
      </w:r>
      <w:r w:rsidR="008575A5">
        <w:rPr>
          <w:rFonts w:asciiTheme="majorHAnsi" w:hAnsiTheme="majorHAnsi" w:cstheme="majorHAnsi"/>
          <w:lang w:val="en-US"/>
        </w:rPr>
        <w:t>,</w:t>
      </w:r>
      <w:r>
        <w:rPr>
          <w:rFonts w:asciiTheme="majorHAnsi" w:hAnsiTheme="majorHAnsi" w:cstheme="majorHAnsi"/>
          <w:lang w:val="en-US"/>
        </w:rPr>
        <w:t xml:space="preserve"> and fake news.</w:t>
      </w:r>
      <w:r>
        <w:rPr>
          <w:rStyle w:val="FootnoteReference"/>
          <w:rFonts w:asciiTheme="majorHAnsi" w:hAnsiTheme="majorHAnsi" w:cstheme="majorHAnsi"/>
          <w:lang w:val="en-US"/>
        </w:rPr>
        <w:footnoteReference w:id="64"/>
      </w:r>
      <w:r>
        <w:rPr>
          <w:rFonts w:asciiTheme="majorHAnsi" w:hAnsiTheme="majorHAnsi" w:cstheme="majorHAnsi"/>
          <w:lang w:val="en-US"/>
        </w:rPr>
        <w:t xml:space="preserve"> Indeed, a recent study demonstrated that in Estonia, Russian state channels have a monopolistic position among the country’s Russian-speaking audience </w:t>
      </w:r>
      <w:r w:rsidR="008575A5">
        <w:rPr>
          <w:rFonts w:asciiTheme="majorHAnsi" w:hAnsiTheme="majorHAnsi" w:cstheme="majorHAnsi"/>
          <w:lang w:val="en-US"/>
        </w:rPr>
        <w:t>since</w:t>
      </w:r>
      <w:r>
        <w:rPr>
          <w:rFonts w:asciiTheme="majorHAnsi" w:hAnsiTheme="majorHAnsi" w:cstheme="majorHAnsi"/>
          <w:lang w:val="en-US"/>
        </w:rPr>
        <w:t xml:space="preserve"> the country faces serious challenges in providing reliable (free from Russian state propaganda) content for them. Accordingly, while the COP and EU media policy aims to safeguard media pluralism, the country-specific circumstances of Member States shall also be considered both during the policy-making process and implementation of the rules to ensure the existence of a ‘healthy’ pluralist media environment.</w:t>
      </w:r>
      <w:r>
        <w:rPr>
          <w:rStyle w:val="FootnoteReference"/>
          <w:rFonts w:asciiTheme="majorHAnsi" w:hAnsiTheme="majorHAnsi" w:cstheme="majorHAnsi"/>
          <w:lang w:val="en-US"/>
        </w:rPr>
        <w:footnoteReference w:id="65"/>
      </w:r>
      <w:r w:rsidR="008575A5">
        <w:rPr>
          <w:rFonts w:asciiTheme="majorHAnsi" w:hAnsiTheme="majorHAnsi" w:cstheme="majorHAnsi"/>
          <w:lang w:val="en-US"/>
        </w:rPr>
        <w:t xml:space="preserve"> </w:t>
      </w:r>
      <w:r w:rsidR="00456F88">
        <w:rPr>
          <w:rFonts w:asciiTheme="majorHAnsi" w:hAnsiTheme="majorHAnsi" w:cstheme="majorHAnsi"/>
          <w:lang w:val="en-US"/>
        </w:rPr>
        <w:t>In this context, t</w:t>
      </w:r>
      <w:r w:rsidR="008575A5">
        <w:rPr>
          <w:rFonts w:asciiTheme="majorHAnsi" w:hAnsiTheme="majorHAnsi" w:cstheme="majorHAnsi"/>
          <w:lang w:val="en-US"/>
        </w:rPr>
        <w:t>he 2018 amendments to the AVMDS</w:t>
      </w:r>
      <w:r w:rsidR="00754B91">
        <w:rPr>
          <w:rStyle w:val="FootnoteReference"/>
          <w:rFonts w:asciiTheme="majorHAnsi" w:hAnsiTheme="majorHAnsi" w:cstheme="majorHAnsi"/>
          <w:lang w:val="en-US"/>
        </w:rPr>
        <w:footnoteReference w:id="66"/>
      </w:r>
      <w:r w:rsidR="008575A5">
        <w:rPr>
          <w:rFonts w:asciiTheme="majorHAnsi" w:hAnsiTheme="majorHAnsi" w:cstheme="majorHAnsi"/>
          <w:lang w:val="en-US"/>
        </w:rPr>
        <w:t xml:space="preserve"> strengthened the COP </w:t>
      </w:r>
      <w:r w:rsidR="00456F88">
        <w:rPr>
          <w:rFonts w:asciiTheme="majorHAnsi" w:hAnsiTheme="majorHAnsi" w:cstheme="majorHAnsi"/>
          <w:lang w:val="en-US"/>
        </w:rPr>
        <w:t>and</w:t>
      </w:r>
      <w:r w:rsidR="008575A5">
        <w:rPr>
          <w:rFonts w:asciiTheme="majorHAnsi" w:hAnsiTheme="majorHAnsi" w:cstheme="majorHAnsi"/>
          <w:lang w:val="en-US"/>
        </w:rPr>
        <w:t xml:space="preserve"> improved the rules governing the anti-circumvention procedure.</w:t>
      </w:r>
      <w:r w:rsidR="008575A5">
        <w:rPr>
          <w:rStyle w:val="FootnoteReference"/>
          <w:rFonts w:asciiTheme="majorHAnsi" w:hAnsiTheme="majorHAnsi" w:cstheme="majorHAnsi"/>
          <w:lang w:val="en-US"/>
        </w:rPr>
        <w:footnoteReference w:id="67"/>
      </w:r>
    </w:p>
    <w:p w:rsidR="00F37FFC" w:rsidRDefault="00F37FFC" w:rsidP="00D52CAC">
      <w:pPr>
        <w:spacing w:line="360" w:lineRule="auto"/>
        <w:jc w:val="both"/>
        <w:rPr>
          <w:rFonts w:asciiTheme="majorHAnsi" w:hAnsiTheme="majorHAnsi" w:cstheme="majorHAnsi"/>
          <w:lang w:val="en-US"/>
        </w:rPr>
      </w:pPr>
    </w:p>
    <w:p w:rsidR="00754B91" w:rsidRDefault="00D730D1" w:rsidP="00D52CAC">
      <w:pPr>
        <w:spacing w:line="360" w:lineRule="auto"/>
        <w:jc w:val="both"/>
        <w:rPr>
          <w:rFonts w:asciiTheme="majorHAnsi" w:hAnsiTheme="majorHAnsi" w:cstheme="majorHAnsi"/>
          <w:lang w:val="en-US"/>
        </w:rPr>
      </w:pPr>
      <w:r w:rsidRPr="00D730D1">
        <w:rPr>
          <w:rFonts w:asciiTheme="majorHAnsi" w:hAnsiTheme="majorHAnsi" w:cstheme="majorHAnsi"/>
          <w:lang w:val="en-US"/>
        </w:rPr>
        <w:tab/>
      </w:r>
      <w:r w:rsidR="00754B91" w:rsidRPr="00D730D1">
        <w:rPr>
          <w:rFonts w:asciiTheme="majorHAnsi" w:hAnsiTheme="majorHAnsi" w:cstheme="majorHAnsi"/>
          <w:lang w:val="en-US"/>
        </w:rPr>
        <w:t xml:space="preserve">Another significant amendment to the AVMDS in 2018 is that </w:t>
      </w:r>
      <w:r w:rsidR="00557C93" w:rsidRPr="00D730D1">
        <w:rPr>
          <w:rFonts w:asciiTheme="majorHAnsi" w:hAnsiTheme="majorHAnsi" w:cstheme="majorHAnsi"/>
          <w:lang w:val="en-US"/>
        </w:rPr>
        <w:t xml:space="preserve">the </w:t>
      </w:r>
      <w:r w:rsidR="00754B91" w:rsidRPr="00D730D1">
        <w:rPr>
          <w:rFonts w:asciiTheme="majorHAnsi" w:hAnsiTheme="majorHAnsi" w:cstheme="majorHAnsi"/>
          <w:lang w:val="en-US"/>
        </w:rPr>
        <w:t xml:space="preserve">Member States now may adopt rules to make the information on the ownership structure, including the beneficial owners of AMSPs </w:t>
      </w:r>
      <w:r w:rsidR="00557C93" w:rsidRPr="00D730D1">
        <w:rPr>
          <w:rFonts w:asciiTheme="majorHAnsi" w:hAnsiTheme="majorHAnsi" w:cstheme="majorHAnsi"/>
          <w:lang w:val="en-US"/>
        </w:rPr>
        <w:t xml:space="preserve">accessible </w:t>
      </w:r>
      <w:r w:rsidR="00754B91" w:rsidRPr="00D730D1">
        <w:rPr>
          <w:rFonts w:asciiTheme="majorHAnsi" w:hAnsiTheme="majorHAnsi" w:cstheme="majorHAnsi"/>
          <w:lang w:val="en-US"/>
        </w:rPr>
        <w:t>under their jurisdiction</w:t>
      </w:r>
      <w:r w:rsidR="00557C93" w:rsidRPr="00D730D1">
        <w:rPr>
          <w:rFonts w:asciiTheme="majorHAnsi" w:hAnsiTheme="majorHAnsi" w:cstheme="majorHAnsi"/>
          <w:lang w:val="en-US"/>
        </w:rPr>
        <w:t>.</w:t>
      </w:r>
      <w:r w:rsidR="00557C93" w:rsidRPr="00D730D1">
        <w:rPr>
          <w:rStyle w:val="FootnoteReference"/>
          <w:rFonts w:asciiTheme="majorHAnsi" w:hAnsiTheme="majorHAnsi" w:cstheme="majorHAnsi"/>
          <w:lang w:val="en-US"/>
        </w:rPr>
        <w:footnoteReference w:id="68"/>
      </w:r>
      <w:r w:rsidR="00557C93" w:rsidRPr="00D730D1">
        <w:rPr>
          <w:rFonts w:asciiTheme="majorHAnsi" w:hAnsiTheme="majorHAnsi" w:cstheme="majorHAnsi"/>
          <w:lang w:val="en-US"/>
        </w:rPr>
        <w:t xml:space="preserve"> </w:t>
      </w:r>
      <w:r w:rsidR="00754B91" w:rsidRPr="00D730D1">
        <w:rPr>
          <w:rFonts w:asciiTheme="majorHAnsi" w:hAnsiTheme="majorHAnsi" w:cstheme="majorHAnsi"/>
          <w:lang w:val="en-US"/>
        </w:rPr>
        <w:t xml:space="preserve">Recitals 15 and 16 of the Directive 2018/1808 </w:t>
      </w:r>
      <w:r w:rsidR="00A81A18">
        <w:rPr>
          <w:rFonts w:asciiTheme="majorHAnsi" w:hAnsiTheme="majorHAnsi" w:cstheme="majorHAnsi"/>
          <w:lang w:val="en-US"/>
        </w:rPr>
        <w:t>emphasised</w:t>
      </w:r>
      <w:r w:rsidR="00754B91" w:rsidRPr="00D730D1">
        <w:rPr>
          <w:rFonts w:asciiTheme="majorHAnsi" w:hAnsiTheme="majorHAnsi" w:cstheme="majorHAnsi"/>
          <w:lang w:val="en-US"/>
        </w:rPr>
        <w:t xml:space="preserve"> the direct link between the transparency</w:t>
      </w:r>
      <w:r w:rsidR="00754B91">
        <w:rPr>
          <w:rFonts w:asciiTheme="majorHAnsi" w:hAnsiTheme="majorHAnsi" w:cstheme="majorHAnsi"/>
          <w:lang w:val="en-US"/>
        </w:rPr>
        <w:t xml:space="preserve"> of media ownership and </w:t>
      </w:r>
      <w:r w:rsidR="00557C93">
        <w:rPr>
          <w:rFonts w:asciiTheme="majorHAnsi" w:hAnsiTheme="majorHAnsi" w:cstheme="majorHAnsi"/>
          <w:lang w:val="en-US"/>
        </w:rPr>
        <w:t>freedom of expression</w:t>
      </w:r>
      <w:r w:rsidR="00754B91">
        <w:rPr>
          <w:rFonts w:asciiTheme="majorHAnsi" w:hAnsiTheme="majorHAnsi" w:cstheme="majorHAnsi"/>
          <w:lang w:val="en-US"/>
        </w:rPr>
        <w:t>, the legitimate interest of users to access information on the owners of AMSPs</w:t>
      </w:r>
      <w:r w:rsidR="00557C93">
        <w:rPr>
          <w:rFonts w:asciiTheme="majorHAnsi" w:hAnsiTheme="majorHAnsi" w:cstheme="majorHAnsi"/>
          <w:lang w:val="en-US"/>
        </w:rPr>
        <w:t>,</w:t>
      </w:r>
      <w:r w:rsidR="00754B91">
        <w:rPr>
          <w:rFonts w:asciiTheme="majorHAnsi" w:hAnsiTheme="majorHAnsi" w:cstheme="majorHAnsi"/>
          <w:lang w:val="en-US"/>
        </w:rPr>
        <w:t xml:space="preserve"> and urged </w:t>
      </w:r>
      <w:r w:rsidR="00557C93">
        <w:rPr>
          <w:rFonts w:asciiTheme="majorHAnsi" w:hAnsiTheme="majorHAnsi" w:cstheme="majorHAnsi"/>
          <w:lang w:val="en-US"/>
        </w:rPr>
        <w:t xml:space="preserve">the </w:t>
      </w:r>
      <w:r w:rsidR="00754B91">
        <w:rPr>
          <w:rFonts w:asciiTheme="majorHAnsi" w:hAnsiTheme="majorHAnsi" w:cstheme="majorHAnsi"/>
          <w:lang w:val="en-US"/>
        </w:rPr>
        <w:t>Member States to ensure easy and direct accessibility of such information, which will promote media pluralism.</w:t>
      </w:r>
      <w:r w:rsidR="00557C93">
        <w:rPr>
          <w:rFonts w:asciiTheme="majorHAnsi" w:hAnsiTheme="majorHAnsi" w:cstheme="majorHAnsi"/>
          <w:lang w:val="en-US"/>
        </w:rPr>
        <w:t xml:space="preserve"> </w:t>
      </w:r>
      <w:r w:rsidR="00754B91">
        <w:rPr>
          <w:rFonts w:asciiTheme="majorHAnsi" w:hAnsiTheme="majorHAnsi" w:cstheme="majorHAnsi"/>
          <w:lang w:val="en-US"/>
        </w:rPr>
        <w:t xml:space="preserve">Furthermore, the independence of national regulatory authorities or bodies </w:t>
      </w:r>
      <w:r w:rsidR="00557C93">
        <w:rPr>
          <w:rFonts w:asciiTheme="majorHAnsi" w:hAnsiTheme="majorHAnsi" w:cstheme="majorHAnsi"/>
          <w:lang w:val="en-US"/>
        </w:rPr>
        <w:t>has</w:t>
      </w:r>
      <w:r w:rsidR="00754B91">
        <w:rPr>
          <w:rFonts w:asciiTheme="majorHAnsi" w:hAnsiTheme="majorHAnsi" w:cstheme="majorHAnsi"/>
          <w:lang w:val="en-US"/>
        </w:rPr>
        <w:t xml:space="preserve"> strengthened with </w:t>
      </w:r>
      <w:r w:rsidR="00557C93">
        <w:rPr>
          <w:rFonts w:asciiTheme="majorHAnsi" w:hAnsiTheme="majorHAnsi" w:cstheme="majorHAnsi"/>
          <w:lang w:val="en-US"/>
        </w:rPr>
        <w:t xml:space="preserve">the </w:t>
      </w:r>
      <w:r w:rsidR="00754B91">
        <w:rPr>
          <w:rFonts w:asciiTheme="majorHAnsi" w:hAnsiTheme="majorHAnsi" w:cstheme="majorHAnsi"/>
          <w:lang w:val="en-US"/>
        </w:rPr>
        <w:t xml:space="preserve">2018 amendments. It </w:t>
      </w:r>
      <w:r w:rsidR="00A81A18">
        <w:rPr>
          <w:rFonts w:asciiTheme="majorHAnsi" w:hAnsiTheme="majorHAnsi" w:cstheme="majorHAnsi"/>
          <w:lang w:val="en-US"/>
        </w:rPr>
        <w:t>has been</w:t>
      </w:r>
      <w:r w:rsidR="00754B91">
        <w:rPr>
          <w:rFonts w:asciiTheme="majorHAnsi" w:hAnsiTheme="majorHAnsi" w:cstheme="majorHAnsi"/>
          <w:lang w:val="en-US"/>
        </w:rPr>
        <w:t xml:space="preserve"> regulated that each Member State shall designate one or more </w:t>
      </w:r>
      <w:r w:rsidR="004C2FE0">
        <w:rPr>
          <w:rFonts w:asciiTheme="majorHAnsi" w:hAnsiTheme="majorHAnsi" w:cstheme="majorHAnsi"/>
          <w:lang w:val="en-US"/>
        </w:rPr>
        <w:t>NRA</w:t>
      </w:r>
      <w:r w:rsidR="00754B91">
        <w:rPr>
          <w:rFonts w:asciiTheme="majorHAnsi" w:hAnsiTheme="majorHAnsi" w:cstheme="majorHAnsi"/>
          <w:lang w:val="en-US"/>
        </w:rPr>
        <w:t xml:space="preserve"> (</w:t>
      </w:r>
      <w:r w:rsidR="004C2FE0">
        <w:rPr>
          <w:rFonts w:asciiTheme="majorHAnsi" w:hAnsiTheme="majorHAnsi" w:cstheme="majorHAnsi"/>
          <w:lang w:val="en-US"/>
        </w:rPr>
        <w:t>body</w:t>
      </w:r>
      <w:r w:rsidR="00754B91">
        <w:rPr>
          <w:rFonts w:asciiTheme="majorHAnsi" w:hAnsiTheme="majorHAnsi" w:cstheme="majorHAnsi"/>
          <w:lang w:val="en-US"/>
        </w:rPr>
        <w:t xml:space="preserve"> or both) and ensure that they are distinct from the government and functionally independent.</w:t>
      </w:r>
      <w:r w:rsidR="00557C93">
        <w:rPr>
          <w:rStyle w:val="FootnoteReference"/>
          <w:rFonts w:asciiTheme="majorHAnsi" w:hAnsiTheme="majorHAnsi" w:cstheme="majorHAnsi"/>
          <w:lang w:val="en-US"/>
        </w:rPr>
        <w:footnoteReference w:id="69"/>
      </w:r>
      <w:r w:rsidR="00557C93">
        <w:rPr>
          <w:rFonts w:asciiTheme="majorHAnsi" w:hAnsiTheme="majorHAnsi" w:cstheme="majorHAnsi"/>
          <w:lang w:val="en-US"/>
        </w:rPr>
        <w:t xml:space="preserve"> </w:t>
      </w:r>
      <w:r w:rsidR="00754B91">
        <w:rPr>
          <w:rFonts w:asciiTheme="majorHAnsi" w:hAnsiTheme="majorHAnsi" w:cstheme="majorHAnsi"/>
          <w:lang w:val="en-US"/>
        </w:rPr>
        <w:t xml:space="preserve">NRAs have to </w:t>
      </w:r>
      <w:r w:rsidR="00754B91">
        <w:rPr>
          <w:rFonts w:asciiTheme="majorHAnsi" w:hAnsiTheme="majorHAnsi" w:cstheme="majorHAnsi"/>
          <w:lang w:val="en-US"/>
        </w:rPr>
        <w:lastRenderedPageBreak/>
        <w:t>exercise their powers impartially, transparently and in accordance with the objectives of the AVMSD, particularly media pluralism and cultural &amp; linguistic diversity</w:t>
      </w:r>
      <w:r w:rsidR="00557C93">
        <w:rPr>
          <w:rFonts w:asciiTheme="majorHAnsi" w:hAnsiTheme="majorHAnsi" w:cstheme="majorHAnsi"/>
          <w:lang w:val="en-US"/>
        </w:rPr>
        <w:t>.</w:t>
      </w:r>
      <w:r w:rsidR="00557C93">
        <w:rPr>
          <w:rStyle w:val="FootnoteReference"/>
          <w:rFonts w:asciiTheme="majorHAnsi" w:hAnsiTheme="majorHAnsi" w:cstheme="majorHAnsi"/>
          <w:lang w:val="en-US"/>
        </w:rPr>
        <w:footnoteReference w:id="70"/>
      </w:r>
      <w:r w:rsidR="00754B91">
        <w:rPr>
          <w:rFonts w:asciiTheme="majorHAnsi" w:hAnsiTheme="majorHAnsi" w:cstheme="majorHAnsi"/>
          <w:lang w:val="en-US"/>
        </w:rPr>
        <w:t xml:space="preserve"> </w:t>
      </w:r>
    </w:p>
    <w:p w:rsidR="00754B91" w:rsidRDefault="00754B91" w:rsidP="00D52CAC">
      <w:pPr>
        <w:spacing w:line="360" w:lineRule="auto"/>
        <w:jc w:val="both"/>
        <w:rPr>
          <w:rFonts w:asciiTheme="majorHAnsi" w:hAnsiTheme="majorHAnsi" w:cstheme="majorHAnsi"/>
          <w:lang w:val="en-US"/>
        </w:rPr>
      </w:pPr>
    </w:p>
    <w:p w:rsidR="008711B7" w:rsidRDefault="00754B91" w:rsidP="00DC22E7">
      <w:pPr>
        <w:spacing w:line="360" w:lineRule="auto"/>
        <w:jc w:val="both"/>
        <w:rPr>
          <w:rFonts w:asciiTheme="majorHAnsi" w:hAnsiTheme="majorHAnsi" w:cstheme="majorHAnsi"/>
          <w:lang w:val="en-US"/>
        </w:rPr>
      </w:pPr>
      <w:r>
        <w:rPr>
          <w:rFonts w:asciiTheme="majorHAnsi" w:hAnsiTheme="majorHAnsi" w:cstheme="majorHAnsi"/>
          <w:lang w:val="en-US"/>
        </w:rPr>
        <w:tab/>
        <w:t xml:space="preserve">Other rules under the AVMSD </w:t>
      </w:r>
      <w:r w:rsidR="004C2FE0">
        <w:rPr>
          <w:rFonts w:asciiTheme="majorHAnsi" w:hAnsiTheme="majorHAnsi" w:cstheme="majorHAnsi"/>
          <w:lang w:val="en-US"/>
        </w:rPr>
        <w:t>that</w:t>
      </w:r>
      <w:r>
        <w:rPr>
          <w:rFonts w:asciiTheme="majorHAnsi" w:hAnsiTheme="majorHAnsi" w:cstheme="majorHAnsi"/>
          <w:lang w:val="en-US"/>
        </w:rPr>
        <w:t xml:space="preserve"> promote media pluralism and cultural diversity in the EU are the broadcasting of events of major importance for society and quota for the promotion of European and independent works.</w:t>
      </w:r>
      <w:r>
        <w:rPr>
          <w:rStyle w:val="FootnoteReference"/>
          <w:rFonts w:asciiTheme="majorHAnsi" w:hAnsiTheme="majorHAnsi" w:cstheme="majorHAnsi"/>
          <w:lang w:val="en-US"/>
        </w:rPr>
        <w:footnoteReference w:id="71"/>
      </w:r>
      <w:r>
        <w:rPr>
          <w:rFonts w:asciiTheme="majorHAnsi" w:hAnsiTheme="majorHAnsi" w:cstheme="majorHAnsi"/>
          <w:lang w:val="en-US"/>
        </w:rPr>
        <w:t xml:space="preserve"> </w:t>
      </w:r>
      <w:r w:rsidR="000F2D8F">
        <w:rPr>
          <w:rFonts w:asciiTheme="majorHAnsi" w:hAnsiTheme="majorHAnsi" w:cstheme="majorHAnsi"/>
          <w:lang w:val="en-US"/>
        </w:rPr>
        <w:t>The first measure allows</w:t>
      </w:r>
      <w:r w:rsidR="004C2FE0">
        <w:rPr>
          <w:rFonts w:asciiTheme="majorHAnsi" w:hAnsiTheme="majorHAnsi" w:cstheme="majorHAnsi"/>
          <w:lang w:val="en-US"/>
        </w:rPr>
        <w:t xml:space="preserve"> the</w:t>
      </w:r>
      <w:r w:rsidR="000F2D8F">
        <w:rPr>
          <w:rFonts w:asciiTheme="majorHAnsi" w:hAnsiTheme="majorHAnsi" w:cstheme="majorHAnsi"/>
          <w:lang w:val="en-US"/>
        </w:rPr>
        <w:t xml:space="preserve"> Member States to adopt measures for the prevention of major events from being monopolised, as it would prevent the majority of the public to follow such events </w:t>
      </w:r>
      <w:r w:rsidR="000C0B29">
        <w:rPr>
          <w:rFonts w:asciiTheme="majorHAnsi" w:hAnsiTheme="majorHAnsi" w:cstheme="majorHAnsi"/>
          <w:lang w:val="en-US"/>
        </w:rPr>
        <w:t>freely</w:t>
      </w:r>
      <w:r w:rsidR="004C2FE0">
        <w:rPr>
          <w:rFonts w:asciiTheme="majorHAnsi" w:hAnsiTheme="majorHAnsi" w:cstheme="majorHAnsi"/>
          <w:lang w:val="en-US"/>
        </w:rPr>
        <w:t>.</w:t>
      </w:r>
      <w:r w:rsidR="004C2FE0">
        <w:rPr>
          <w:rStyle w:val="FootnoteReference"/>
          <w:rFonts w:asciiTheme="majorHAnsi" w:hAnsiTheme="majorHAnsi" w:cstheme="majorHAnsi"/>
          <w:lang w:val="en-US"/>
        </w:rPr>
        <w:footnoteReference w:id="72"/>
      </w:r>
      <w:r w:rsidR="000F2D8F">
        <w:rPr>
          <w:rFonts w:asciiTheme="majorHAnsi" w:hAnsiTheme="majorHAnsi" w:cstheme="majorHAnsi"/>
          <w:lang w:val="en-US"/>
        </w:rPr>
        <w:t xml:space="preserve"> So far, </w:t>
      </w:r>
      <w:r w:rsidR="004C2FE0">
        <w:rPr>
          <w:rFonts w:asciiTheme="majorHAnsi" w:hAnsiTheme="majorHAnsi" w:cstheme="majorHAnsi"/>
          <w:lang w:val="en-US"/>
        </w:rPr>
        <w:t>eleven</w:t>
      </w:r>
      <w:r w:rsidR="000F2D8F">
        <w:rPr>
          <w:rFonts w:asciiTheme="majorHAnsi" w:hAnsiTheme="majorHAnsi" w:cstheme="majorHAnsi"/>
          <w:lang w:val="en-US"/>
        </w:rPr>
        <w:t xml:space="preserve"> Member State notified a list of designated events to the EC under this </w:t>
      </w:r>
      <w:r w:rsidR="000A4E57">
        <w:rPr>
          <w:rFonts w:asciiTheme="majorHAnsi" w:hAnsiTheme="majorHAnsi" w:cstheme="majorHAnsi"/>
          <w:lang w:val="en-US"/>
        </w:rPr>
        <w:t>tool</w:t>
      </w:r>
      <w:r w:rsidR="000F2D8F">
        <w:rPr>
          <w:rFonts w:asciiTheme="majorHAnsi" w:hAnsiTheme="majorHAnsi" w:cstheme="majorHAnsi"/>
          <w:lang w:val="en-US"/>
        </w:rPr>
        <w:t>.</w:t>
      </w:r>
      <w:r w:rsidR="000F2D8F">
        <w:rPr>
          <w:rStyle w:val="FootnoteReference"/>
          <w:rFonts w:asciiTheme="majorHAnsi" w:hAnsiTheme="majorHAnsi" w:cstheme="majorHAnsi"/>
          <w:lang w:val="en-US"/>
        </w:rPr>
        <w:footnoteReference w:id="73"/>
      </w:r>
      <w:r w:rsidR="000A4E57">
        <w:rPr>
          <w:rFonts w:asciiTheme="majorHAnsi" w:hAnsiTheme="majorHAnsi" w:cstheme="majorHAnsi"/>
          <w:lang w:val="en-US"/>
        </w:rPr>
        <w:t xml:space="preserve"> </w:t>
      </w:r>
      <w:r w:rsidR="00715B38">
        <w:rPr>
          <w:rFonts w:asciiTheme="majorHAnsi" w:hAnsiTheme="majorHAnsi" w:cstheme="majorHAnsi"/>
          <w:lang w:val="en-US"/>
        </w:rPr>
        <w:t>To</w:t>
      </w:r>
      <w:r w:rsidR="000A4E57">
        <w:rPr>
          <w:rFonts w:asciiTheme="majorHAnsi" w:hAnsiTheme="majorHAnsi" w:cstheme="majorHAnsi"/>
          <w:lang w:val="en-US"/>
        </w:rPr>
        <w:t xml:space="preserve"> contribute to the promotion of cultural diversity in the EU,</w:t>
      </w:r>
      <w:r w:rsidR="000A4E57">
        <w:rPr>
          <w:rStyle w:val="FootnoteReference"/>
          <w:rFonts w:asciiTheme="majorHAnsi" w:hAnsiTheme="majorHAnsi" w:cstheme="majorHAnsi"/>
          <w:lang w:val="en-US"/>
        </w:rPr>
        <w:footnoteReference w:id="74"/>
      </w:r>
      <w:r w:rsidR="000A4E57">
        <w:rPr>
          <w:rFonts w:asciiTheme="majorHAnsi" w:hAnsiTheme="majorHAnsi" w:cstheme="majorHAnsi"/>
          <w:lang w:val="en-US"/>
        </w:rPr>
        <w:t xml:space="preserve"> article 16 of the AVMSD requires that AMSPs reserve for European works a majority proportion of their transmission time</w:t>
      </w:r>
      <w:r w:rsidR="000A4E57">
        <w:rPr>
          <w:rStyle w:val="FootnoteReference"/>
          <w:rFonts w:asciiTheme="majorHAnsi" w:hAnsiTheme="majorHAnsi" w:cstheme="majorHAnsi"/>
          <w:lang w:val="en-US"/>
        </w:rPr>
        <w:footnoteReference w:id="75"/>
      </w:r>
      <w:r w:rsidR="000A4E57">
        <w:rPr>
          <w:rFonts w:asciiTheme="majorHAnsi" w:hAnsiTheme="majorHAnsi" w:cstheme="majorHAnsi"/>
          <w:lang w:val="en-US"/>
        </w:rPr>
        <w:t xml:space="preserve"> and article 17 requires the allocation of 10% of transmission time and programming budge</w:t>
      </w:r>
      <w:r w:rsidR="000C0B29">
        <w:rPr>
          <w:rFonts w:asciiTheme="majorHAnsi" w:hAnsiTheme="majorHAnsi" w:cstheme="majorHAnsi"/>
          <w:lang w:val="en-US"/>
        </w:rPr>
        <w:t>t</w:t>
      </w:r>
      <w:r w:rsidR="000A4E57">
        <w:rPr>
          <w:rFonts w:asciiTheme="majorHAnsi" w:hAnsiTheme="majorHAnsi" w:cstheme="majorHAnsi"/>
          <w:lang w:val="en-US"/>
        </w:rPr>
        <w:t xml:space="preserve"> for European works created by independent producers. </w:t>
      </w:r>
    </w:p>
    <w:p w:rsidR="00EC39B2" w:rsidRDefault="00EC39B2" w:rsidP="00DC22E7">
      <w:pPr>
        <w:spacing w:line="360" w:lineRule="auto"/>
        <w:jc w:val="both"/>
        <w:rPr>
          <w:rFonts w:asciiTheme="majorHAnsi" w:hAnsiTheme="majorHAnsi" w:cstheme="majorHAnsi"/>
          <w:lang w:val="en-US"/>
        </w:rPr>
      </w:pPr>
    </w:p>
    <w:p w:rsidR="00EC39B2" w:rsidRPr="00EC39B2" w:rsidRDefault="00EC39B2" w:rsidP="00EC39B2">
      <w:pPr>
        <w:pStyle w:val="ListParagraph"/>
        <w:numPr>
          <w:ilvl w:val="0"/>
          <w:numId w:val="21"/>
        </w:numPr>
        <w:spacing w:line="360" w:lineRule="auto"/>
        <w:jc w:val="center"/>
        <w:rPr>
          <w:rFonts w:asciiTheme="majorHAnsi" w:hAnsiTheme="majorHAnsi" w:cstheme="majorHAnsi"/>
          <w:b/>
          <w:lang w:val="en-US"/>
        </w:rPr>
      </w:pPr>
      <w:r>
        <w:rPr>
          <w:rFonts w:asciiTheme="majorHAnsi" w:hAnsiTheme="majorHAnsi" w:cstheme="majorHAnsi"/>
          <w:b/>
          <w:lang w:val="en-US"/>
        </w:rPr>
        <w:t>SOFT</w:t>
      </w:r>
      <w:r w:rsidRPr="00EC39B2">
        <w:rPr>
          <w:rFonts w:asciiTheme="majorHAnsi" w:hAnsiTheme="majorHAnsi" w:cstheme="majorHAnsi"/>
          <w:b/>
          <w:lang w:val="en-US"/>
        </w:rPr>
        <w:t xml:space="preserve">-LAW INSTRUMENTS </w:t>
      </w:r>
      <w:r>
        <w:rPr>
          <w:rFonts w:asciiTheme="majorHAnsi" w:hAnsiTheme="majorHAnsi" w:cstheme="majorHAnsi"/>
          <w:b/>
          <w:lang w:val="en-US"/>
        </w:rPr>
        <w:t>FOSTERING</w:t>
      </w:r>
      <w:r w:rsidRPr="00EC39B2">
        <w:rPr>
          <w:rFonts w:asciiTheme="majorHAnsi" w:hAnsiTheme="majorHAnsi" w:cstheme="majorHAnsi"/>
          <w:b/>
          <w:lang w:val="en-US"/>
        </w:rPr>
        <w:t xml:space="preserve"> MEDIA PLURALISM</w:t>
      </w:r>
    </w:p>
    <w:p w:rsidR="000F5AAF" w:rsidRDefault="000F5AAF" w:rsidP="000F5AAF">
      <w:pPr>
        <w:pStyle w:val="ListParagraph"/>
        <w:spacing w:line="360" w:lineRule="auto"/>
        <w:ind w:left="714"/>
        <w:jc w:val="both"/>
        <w:rPr>
          <w:rFonts w:asciiTheme="majorHAnsi" w:hAnsiTheme="majorHAnsi" w:cstheme="majorHAnsi"/>
          <w:b/>
          <w:lang w:val="en-US"/>
        </w:rPr>
      </w:pPr>
    </w:p>
    <w:p w:rsidR="00C672EE" w:rsidRPr="00EC39B2" w:rsidRDefault="006C02C9" w:rsidP="00EC39B2">
      <w:pPr>
        <w:pStyle w:val="ListParagraph"/>
        <w:numPr>
          <w:ilvl w:val="0"/>
          <w:numId w:val="26"/>
        </w:numPr>
        <w:spacing w:line="360" w:lineRule="auto"/>
        <w:jc w:val="both"/>
        <w:rPr>
          <w:rFonts w:asciiTheme="majorHAnsi" w:hAnsiTheme="majorHAnsi" w:cstheme="majorHAnsi"/>
          <w:b/>
          <w:lang w:val="en-US"/>
        </w:rPr>
      </w:pPr>
      <w:r w:rsidRPr="00EC39B2">
        <w:rPr>
          <w:rFonts w:asciiTheme="majorHAnsi" w:hAnsiTheme="majorHAnsi" w:cstheme="majorHAnsi"/>
          <w:b/>
          <w:lang w:val="en-US"/>
        </w:rPr>
        <w:t xml:space="preserve">The </w:t>
      </w:r>
      <w:r w:rsidR="00C672EE" w:rsidRPr="00EC39B2">
        <w:rPr>
          <w:rFonts w:asciiTheme="majorHAnsi" w:hAnsiTheme="majorHAnsi" w:cstheme="majorHAnsi"/>
          <w:b/>
          <w:lang w:val="en-US"/>
        </w:rPr>
        <w:t xml:space="preserve">Media Pluralism Monitor </w:t>
      </w:r>
    </w:p>
    <w:p w:rsidR="000F5AAF" w:rsidRDefault="000F5AAF" w:rsidP="000F5AAF">
      <w:pPr>
        <w:spacing w:line="360" w:lineRule="auto"/>
        <w:jc w:val="both"/>
        <w:rPr>
          <w:rFonts w:asciiTheme="majorHAnsi" w:hAnsiTheme="majorHAnsi" w:cstheme="majorHAnsi"/>
          <w:b/>
          <w:lang w:val="en-US"/>
        </w:rPr>
      </w:pPr>
    </w:p>
    <w:p w:rsidR="000F5AAF" w:rsidRDefault="000F5AAF" w:rsidP="000F5AAF">
      <w:pPr>
        <w:spacing w:line="360" w:lineRule="auto"/>
        <w:jc w:val="both"/>
        <w:rPr>
          <w:rFonts w:asciiTheme="majorHAnsi" w:hAnsiTheme="majorHAnsi" w:cstheme="majorHAnsi"/>
          <w:lang w:val="en-US"/>
        </w:rPr>
      </w:pPr>
      <w:r>
        <w:rPr>
          <w:rFonts w:asciiTheme="majorHAnsi" w:hAnsiTheme="majorHAnsi" w:cstheme="majorHAnsi"/>
          <w:b/>
          <w:lang w:val="en-US"/>
        </w:rPr>
        <w:tab/>
      </w:r>
      <w:r w:rsidR="00547711">
        <w:rPr>
          <w:rFonts w:asciiTheme="majorHAnsi" w:hAnsiTheme="majorHAnsi" w:cstheme="majorHAnsi"/>
          <w:lang w:val="en-US"/>
        </w:rPr>
        <w:t xml:space="preserve">The </w:t>
      </w:r>
      <w:r w:rsidR="00AB07B6">
        <w:rPr>
          <w:rFonts w:asciiTheme="majorHAnsi" w:hAnsiTheme="majorHAnsi" w:cstheme="majorHAnsi"/>
          <w:lang w:val="en-US"/>
        </w:rPr>
        <w:t>MPM</w:t>
      </w:r>
      <w:r w:rsidR="001625AC">
        <w:rPr>
          <w:rFonts w:asciiTheme="majorHAnsi" w:hAnsiTheme="majorHAnsi" w:cstheme="majorHAnsi"/>
          <w:lang w:val="en-US"/>
        </w:rPr>
        <w:t xml:space="preserve"> </w:t>
      </w:r>
      <w:r w:rsidR="00547711">
        <w:rPr>
          <w:rFonts w:asciiTheme="majorHAnsi" w:hAnsiTheme="majorHAnsi" w:cstheme="majorHAnsi"/>
          <w:lang w:val="en-US"/>
        </w:rPr>
        <w:t xml:space="preserve">is a </w:t>
      </w:r>
      <w:r w:rsidR="00604BCD">
        <w:rPr>
          <w:rFonts w:asciiTheme="majorHAnsi" w:hAnsiTheme="majorHAnsi" w:cstheme="majorHAnsi"/>
          <w:lang w:val="en-US"/>
        </w:rPr>
        <w:t>monitoring tool</w:t>
      </w:r>
      <w:r w:rsidR="00547711">
        <w:rPr>
          <w:rFonts w:asciiTheme="majorHAnsi" w:hAnsiTheme="majorHAnsi" w:cstheme="majorHAnsi"/>
          <w:lang w:val="en-US"/>
        </w:rPr>
        <w:t xml:space="preserve"> </w:t>
      </w:r>
      <w:r w:rsidR="00AB07B6">
        <w:rPr>
          <w:rFonts w:asciiTheme="majorHAnsi" w:hAnsiTheme="majorHAnsi" w:cstheme="majorHAnsi"/>
          <w:lang w:val="en-US"/>
        </w:rPr>
        <w:t xml:space="preserve">that has been </w:t>
      </w:r>
      <w:r w:rsidR="00547711">
        <w:rPr>
          <w:rFonts w:asciiTheme="majorHAnsi" w:hAnsiTheme="majorHAnsi" w:cstheme="majorHAnsi"/>
          <w:lang w:val="en-US"/>
        </w:rPr>
        <w:t xml:space="preserve">created to </w:t>
      </w:r>
      <w:r w:rsidR="00604BCD">
        <w:rPr>
          <w:rFonts w:asciiTheme="majorHAnsi" w:hAnsiTheme="majorHAnsi" w:cstheme="majorHAnsi"/>
          <w:lang w:val="en-US"/>
        </w:rPr>
        <w:t xml:space="preserve">assess the level of media pluralism and </w:t>
      </w:r>
      <w:r w:rsidR="00547711">
        <w:rPr>
          <w:rFonts w:asciiTheme="majorHAnsi" w:hAnsiTheme="majorHAnsi" w:cstheme="majorHAnsi"/>
          <w:lang w:val="en-US"/>
        </w:rPr>
        <w:t xml:space="preserve">identify </w:t>
      </w:r>
      <w:r w:rsidR="00604BCD">
        <w:rPr>
          <w:rFonts w:asciiTheme="majorHAnsi" w:hAnsiTheme="majorHAnsi" w:cstheme="majorHAnsi"/>
          <w:lang w:val="en-US"/>
        </w:rPr>
        <w:t>potential threats to such</w:t>
      </w:r>
      <w:r w:rsidR="001625AC">
        <w:rPr>
          <w:rFonts w:asciiTheme="majorHAnsi" w:hAnsiTheme="majorHAnsi" w:cstheme="majorHAnsi"/>
          <w:lang w:val="en-US"/>
        </w:rPr>
        <w:t xml:space="preserve"> in the Member States</w:t>
      </w:r>
      <w:r w:rsidR="00547711">
        <w:rPr>
          <w:rFonts w:asciiTheme="majorHAnsi" w:hAnsiTheme="majorHAnsi" w:cstheme="majorHAnsi"/>
          <w:lang w:val="en-US"/>
        </w:rPr>
        <w:t>.</w:t>
      </w:r>
      <w:r w:rsidR="00547711">
        <w:rPr>
          <w:rStyle w:val="FootnoteReference"/>
          <w:rFonts w:asciiTheme="majorHAnsi" w:hAnsiTheme="majorHAnsi" w:cstheme="majorHAnsi"/>
          <w:lang w:val="en-US"/>
        </w:rPr>
        <w:footnoteReference w:id="76"/>
      </w:r>
      <w:r w:rsidR="001625AC">
        <w:rPr>
          <w:rFonts w:asciiTheme="majorHAnsi" w:hAnsiTheme="majorHAnsi" w:cstheme="majorHAnsi"/>
          <w:lang w:val="en-US"/>
        </w:rPr>
        <w:t xml:space="preserve"> It stems from an independent study published in 2009</w:t>
      </w:r>
      <w:r w:rsidR="00604BCD">
        <w:rPr>
          <w:rFonts w:asciiTheme="majorHAnsi" w:hAnsiTheme="majorHAnsi" w:cstheme="majorHAnsi"/>
          <w:lang w:val="en-US"/>
        </w:rPr>
        <w:t xml:space="preserve"> which was conducted for the EC by a group of academics and experts.</w:t>
      </w:r>
      <w:r w:rsidR="001625AC">
        <w:rPr>
          <w:rStyle w:val="FootnoteReference"/>
          <w:rFonts w:asciiTheme="majorHAnsi" w:hAnsiTheme="majorHAnsi" w:cstheme="majorHAnsi"/>
          <w:lang w:val="en-US"/>
        </w:rPr>
        <w:footnoteReference w:id="77"/>
      </w:r>
      <w:r w:rsidR="00604BCD">
        <w:rPr>
          <w:rFonts w:asciiTheme="majorHAnsi" w:hAnsiTheme="majorHAnsi" w:cstheme="majorHAnsi"/>
          <w:lang w:val="en-US"/>
        </w:rPr>
        <w:t xml:space="preserve"> </w:t>
      </w:r>
      <w:r w:rsidR="000C1EC1">
        <w:rPr>
          <w:rFonts w:asciiTheme="majorHAnsi" w:hAnsiTheme="majorHAnsi" w:cstheme="majorHAnsi"/>
          <w:lang w:val="en-US"/>
        </w:rPr>
        <w:t xml:space="preserve">It </w:t>
      </w:r>
      <w:r w:rsidR="00190630">
        <w:rPr>
          <w:rFonts w:asciiTheme="majorHAnsi" w:hAnsiTheme="majorHAnsi" w:cstheme="majorHAnsi"/>
          <w:lang w:val="en-US"/>
        </w:rPr>
        <w:t>has been</w:t>
      </w:r>
      <w:r w:rsidR="00DA082D">
        <w:rPr>
          <w:rFonts w:asciiTheme="majorHAnsi" w:hAnsiTheme="majorHAnsi" w:cstheme="majorHAnsi"/>
          <w:lang w:val="en-US"/>
        </w:rPr>
        <w:t xml:space="preserve"> claimed that t</w:t>
      </w:r>
      <w:r w:rsidR="005F38E7">
        <w:rPr>
          <w:rFonts w:asciiTheme="majorHAnsi" w:hAnsiTheme="majorHAnsi" w:cstheme="majorHAnsi"/>
          <w:lang w:val="en-US"/>
        </w:rPr>
        <w:t xml:space="preserve">he initial prototype was the first step in the development of a standardised monitoring tool at the EU level, aiming to identify and measure threats to numerous aspects of media pluralism, from media ownership to plurality matters to cultural, </w:t>
      </w:r>
      <w:r w:rsidR="005F38E7">
        <w:rPr>
          <w:rFonts w:asciiTheme="majorHAnsi" w:hAnsiTheme="majorHAnsi" w:cstheme="majorHAnsi"/>
          <w:lang w:val="en-US"/>
        </w:rPr>
        <w:lastRenderedPageBreak/>
        <w:t>political</w:t>
      </w:r>
      <w:r w:rsidR="00130A03">
        <w:rPr>
          <w:rFonts w:asciiTheme="majorHAnsi" w:hAnsiTheme="majorHAnsi" w:cstheme="majorHAnsi"/>
          <w:lang w:val="en-US"/>
        </w:rPr>
        <w:t>,</w:t>
      </w:r>
      <w:r w:rsidR="005F38E7">
        <w:rPr>
          <w:rFonts w:asciiTheme="majorHAnsi" w:hAnsiTheme="majorHAnsi" w:cstheme="majorHAnsi"/>
          <w:lang w:val="en-US"/>
        </w:rPr>
        <w:t xml:space="preserve"> and geographic aspects</w:t>
      </w:r>
      <w:r w:rsidR="000C1EC1">
        <w:rPr>
          <w:rFonts w:asciiTheme="majorHAnsi" w:hAnsiTheme="majorHAnsi" w:cstheme="majorHAnsi"/>
          <w:lang w:val="en-US"/>
        </w:rPr>
        <w:t>.</w:t>
      </w:r>
      <w:r w:rsidR="005F38E7">
        <w:rPr>
          <w:rStyle w:val="FootnoteReference"/>
          <w:rFonts w:asciiTheme="majorHAnsi" w:hAnsiTheme="majorHAnsi" w:cstheme="majorHAnsi"/>
          <w:lang w:val="en-US"/>
        </w:rPr>
        <w:footnoteReference w:id="78"/>
      </w:r>
      <w:r w:rsidR="00DE693E">
        <w:rPr>
          <w:rFonts w:asciiTheme="majorHAnsi" w:hAnsiTheme="majorHAnsi" w:cstheme="majorHAnsi"/>
          <w:lang w:val="en-US"/>
        </w:rPr>
        <w:t xml:space="preserve"> </w:t>
      </w:r>
      <w:r w:rsidR="000C1EC1">
        <w:rPr>
          <w:rFonts w:asciiTheme="majorHAnsi" w:hAnsiTheme="majorHAnsi" w:cstheme="majorHAnsi"/>
          <w:lang w:val="en-US"/>
        </w:rPr>
        <w:t xml:space="preserve">However, </w:t>
      </w:r>
      <w:r w:rsidR="00DA082D">
        <w:rPr>
          <w:rFonts w:asciiTheme="majorHAnsi" w:hAnsiTheme="majorHAnsi" w:cstheme="majorHAnsi"/>
          <w:lang w:val="en-US"/>
        </w:rPr>
        <w:t>the lack of obligation of</w:t>
      </w:r>
      <w:r w:rsidR="00130A03">
        <w:rPr>
          <w:rFonts w:asciiTheme="majorHAnsi" w:hAnsiTheme="majorHAnsi" w:cstheme="majorHAnsi"/>
          <w:lang w:val="en-US"/>
        </w:rPr>
        <w:t xml:space="preserve"> the Member States </w:t>
      </w:r>
      <w:r w:rsidR="00DA082D">
        <w:rPr>
          <w:rFonts w:asciiTheme="majorHAnsi" w:hAnsiTheme="majorHAnsi" w:cstheme="majorHAnsi"/>
          <w:lang w:val="en-US"/>
        </w:rPr>
        <w:t>using</w:t>
      </w:r>
      <w:r w:rsidR="00130A03">
        <w:rPr>
          <w:rFonts w:asciiTheme="majorHAnsi" w:hAnsiTheme="majorHAnsi" w:cstheme="majorHAnsi"/>
          <w:lang w:val="en-US"/>
        </w:rPr>
        <w:t xml:space="preserve"> the tool initially prevented </w:t>
      </w:r>
      <w:r w:rsidR="000C1EC1">
        <w:rPr>
          <w:rFonts w:asciiTheme="majorHAnsi" w:hAnsiTheme="majorHAnsi" w:cstheme="majorHAnsi"/>
          <w:lang w:val="en-US"/>
        </w:rPr>
        <w:t xml:space="preserve">the formation of </w:t>
      </w:r>
      <w:r w:rsidR="00130A03">
        <w:rPr>
          <w:rFonts w:asciiTheme="majorHAnsi" w:hAnsiTheme="majorHAnsi" w:cstheme="majorHAnsi"/>
          <w:lang w:val="en-US"/>
        </w:rPr>
        <w:t>an EU-level monitoring mechanism.</w:t>
      </w:r>
      <w:r w:rsidR="00130A03">
        <w:rPr>
          <w:rStyle w:val="FootnoteReference"/>
          <w:rFonts w:asciiTheme="majorHAnsi" w:hAnsiTheme="majorHAnsi" w:cstheme="majorHAnsi"/>
          <w:lang w:val="en-US"/>
        </w:rPr>
        <w:footnoteReference w:id="79"/>
      </w:r>
    </w:p>
    <w:p w:rsidR="00DA082D" w:rsidRDefault="00DA082D" w:rsidP="000F5AAF">
      <w:pPr>
        <w:spacing w:line="360" w:lineRule="auto"/>
        <w:jc w:val="both"/>
        <w:rPr>
          <w:rFonts w:asciiTheme="majorHAnsi" w:hAnsiTheme="majorHAnsi" w:cstheme="majorHAnsi"/>
          <w:lang w:val="en-US"/>
        </w:rPr>
      </w:pPr>
    </w:p>
    <w:p w:rsidR="00DA082D" w:rsidRDefault="00DA082D" w:rsidP="000F5AAF">
      <w:pPr>
        <w:spacing w:line="360" w:lineRule="auto"/>
        <w:jc w:val="both"/>
        <w:rPr>
          <w:rFonts w:asciiTheme="majorHAnsi" w:hAnsiTheme="majorHAnsi" w:cstheme="majorHAnsi"/>
          <w:lang w:val="en-US"/>
        </w:rPr>
      </w:pPr>
      <w:r>
        <w:rPr>
          <w:rFonts w:asciiTheme="majorHAnsi" w:hAnsiTheme="majorHAnsi" w:cstheme="majorHAnsi"/>
          <w:lang w:val="en-US"/>
        </w:rPr>
        <w:tab/>
        <w:t xml:space="preserve">In line with the </w:t>
      </w:r>
      <w:r w:rsidRPr="00953B04">
        <w:rPr>
          <w:rFonts w:asciiTheme="majorHAnsi" w:hAnsiTheme="majorHAnsi" w:cstheme="majorHAnsi"/>
          <w:lang w:val="en-US"/>
        </w:rPr>
        <w:t xml:space="preserve">recommendations </w:t>
      </w:r>
      <w:r w:rsidR="000C1EC1" w:rsidRPr="00953B04">
        <w:rPr>
          <w:rFonts w:asciiTheme="majorHAnsi" w:hAnsiTheme="majorHAnsi" w:cstheme="majorHAnsi"/>
          <w:lang w:val="en-US"/>
        </w:rPr>
        <w:t>in</w:t>
      </w:r>
      <w:r w:rsidRPr="00953B04">
        <w:rPr>
          <w:rFonts w:asciiTheme="majorHAnsi" w:hAnsiTheme="majorHAnsi" w:cstheme="majorHAnsi"/>
          <w:lang w:val="en-US"/>
        </w:rPr>
        <w:t xml:space="preserve"> the HLGMFP </w:t>
      </w:r>
      <w:r w:rsidR="000C1EC1" w:rsidRPr="00953B04">
        <w:rPr>
          <w:rFonts w:asciiTheme="majorHAnsi" w:hAnsiTheme="majorHAnsi" w:cstheme="majorHAnsi"/>
          <w:lang w:val="en-US"/>
        </w:rPr>
        <w:t>and CMPF</w:t>
      </w:r>
      <w:r w:rsidR="000C1EC1">
        <w:rPr>
          <w:rFonts w:asciiTheme="majorHAnsi" w:hAnsiTheme="majorHAnsi" w:cstheme="majorHAnsi"/>
          <w:lang w:val="en-US"/>
        </w:rPr>
        <w:t xml:space="preserve"> reports</w:t>
      </w:r>
      <w:r>
        <w:rPr>
          <w:rFonts w:asciiTheme="majorHAnsi" w:hAnsiTheme="majorHAnsi" w:cstheme="majorHAnsi"/>
          <w:lang w:val="en-US"/>
        </w:rPr>
        <w:t>, the CMPF was tasked with the simplification and pilot implementation of the MPM in 2013.</w:t>
      </w:r>
      <w:r>
        <w:rPr>
          <w:rStyle w:val="FootnoteReference"/>
          <w:rFonts w:asciiTheme="majorHAnsi" w:hAnsiTheme="majorHAnsi" w:cstheme="majorHAnsi"/>
          <w:lang w:val="en-US"/>
        </w:rPr>
        <w:footnoteReference w:id="80"/>
      </w:r>
      <w:r>
        <w:rPr>
          <w:rFonts w:asciiTheme="majorHAnsi" w:hAnsiTheme="majorHAnsi" w:cstheme="majorHAnsi"/>
          <w:lang w:val="en-US"/>
        </w:rPr>
        <w:t xml:space="preserve"> Following the initial simplification and test phrases in 2013 and 2014, </w:t>
      </w:r>
      <w:r w:rsidR="000C1EC1">
        <w:rPr>
          <w:rFonts w:asciiTheme="majorHAnsi" w:hAnsiTheme="majorHAnsi" w:cstheme="majorHAnsi"/>
          <w:lang w:val="en-US"/>
        </w:rPr>
        <w:t xml:space="preserve">the </w:t>
      </w:r>
      <w:r>
        <w:rPr>
          <w:rFonts w:asciiTheme="majorHAnsi" w:hAnsiTheme="majorHAnsi" w:cstheme="majorHAnsi"/>
          <w:lang w:val="en-US"/>
        </w:rPr>
        <w:t>CMPF implemented the MPM at the EU</w:t>
      </w:r>
      <w:r w:rsidR="00D84101">
        <w:rPr>
          <w:rFonts w:asciiTheme="majorHAnsi" w:hAnsiTheme="majorHAnsi" w:cstheme="majorHAnsi"/>
          <w:lang w:val="en-US"/>
        </w:rPr>
        <w:t xml:space="preserve"> </w:t>
      </w:r>
      <w:r>
        <w:rPr>
          <w:rFonts w:asciiTheme="majorHAnsi" w:hAnsiTheme="majorHAnsi" w:cstheme="majorHAnsi"/>
          <w:lang w:val="en-US"/>
        </w:rPr>
        <w:t>level including the candidate countries twice in 2016 and 2017.</w:t>
      </w:r>
      <w:r>
        <w:rPr>
          <w:rStyle w:val="FootnoteReference"/>
          <w:rFonts w:asciiTheme="majorHAnsi" w:hAnsiTheme="majorHAnsi" w:cstheme="majorHAnsi"/>
          <w:lang w:val="en-US"/>
        </w:rPr>
        <w:footnoteReference w:id="81"/>
      </w:r>
      <w:r>
        <w:rPr>
          <w:rFonts w:asciiTheme="majorHAnsi" w:hAnsiTheme="majorHAnsi" w:cstheme="majorHAnsi"/>
          <w:lang w:val="en-US"/>
        </w:rPr>
        <w:t xml:space="preserve"> The simplified tool concentrate</w:t>
      </w:r>
      <w:r w:rsidR="00AB07B6">
        <w:rPr>
          <w:rFonts w:asciiTheme="majorHAnsi" w:hAnsiTheme="majorHAnsi" w:cstheme="majorHAnsi"/>
          <w:lang w:val="en-US"/>
        </w:rPr>
        <w:t>d</w:t>
      </w:r>
      <w:r>
        <w:rPr>
          <w:rFonts w:asciiTheme="majorHAnsi" w:hAnsiTheme="majorHAnsi" w:cstheme="majorHAnsi"/>
          <w:lang w:val="en-US"/>
        </w:rPr>
        <w:t xml:space="preserve"> on the analysis of news and current affairs and measure</w:t>
      </w:r>
      <w:r w:rsidR="00AB07B6">
        <w:rPr>
          <w:rFonts w:asciiTheme="majorHAnsi" w:hAnsiTheme="majorHAnsi" w:cstheme="majorHAnsi"/>
          <w:lang w:val="en-US"/>
        </w:rPr>
        <w:t>d</w:t>
      </w:r>
      <w:r>
        <w:rPr>
          <w:rFonts w:asciiTheme="majorHAnsi" w:hAnsiTheme="majorHAnsi" w:cstheme="majorHAnsi"/>
          <w:lang w:val="en-US"/>
        </w:rPr>
        <w:t xml:space="preserve"> threats for media pluralism over four domains, namely Basic Protection, Market Plurality, Political Independence</w:t>
      </w:r>
      <w:r w:rsidR="000C1EC1">
        <w:rPr>
          <w:rFonts w:asciiTheme="majorHAnsi" w:hAnsiTheme="majorHAnsi" w:cstheme="majorHAnsi"/>
          <w:lang w:val="en-US"/>
        </w:rPr>
        <w:t>,</w:t>
      </w:r>
      <w:r>
        <w:rPr>
          <w:rFonts w:asciiTheme="majorHAnsi" w:hAnsiTheme="majorHAnsi" w:cstheme="majorHAnsi"/>
          <w:lang w:val="en-US"/>
        </w:rPr>
        <w:t xml:space="preserve"> and Social Inclusiveness.</w:t>
      </w:r>
      <w:r>
        <w:rPr>
          <w:rStyle w:val="FootnoteReference"/>
          <w:rFonts w:asciiTheme="majorHAnsi" w:hAnsiTheme="majorHAnsi" w:cstheme="majorHAnsi"/>
          <w:lang w:val="en-US"/>
        </w:rPr>
        <w:footnoteReference w:id="82"/>
      </w:r>
      <w:r>
        <w:rPr>
          <w:rFonts w:asciiTheme="majorHAnsi" w:hAnsiTheme="majorHAnsi" w:cstheme="majorHAnsi"/>
          <w:lang w:val="en-US"/>
        </w:rPr>
        <w:t xml:space="preserve"> </w:t>
      </w:r>
    </w:p>
    <w:p w:rsidR="00DA082D" w:rsidRDefault="00DA082D" w:rsidP="000F5AAF">
      <w:pPr>
        <w:spacing w:line="360" w:lineRule="auto"/>
        <w:jc w:val="both"/>
        <w:rPr>
          <w:rFonts w:asciiTheme="majorHAnsi" w:hAnsiTheme="majorHAnsi" w:cstheme="majorHAnsi"/>
          <w:lang w:val="en-US"/>
        </w:rPr>
      </w:pPr>
    </w:p>
    <w:p w:rsidR="00FF6355" w:rsidRDefault="000C1EC1" w:rsidP="00793329">
      <w:pPr>
        <w:spacing w:line="360" w:lineRule="auto"/>
        <w:jc w:val="both"/>
        <w:rPr>
          <w:rFonts w:asciiTheme="majorHAnsi" w:hAnsiTheme="majorHAnsi" w:cstheme="majorHAnsi"/>
          <w:lang w:val="en-US"/>
        </w:rPr>
      </w:pPr>
      <w:r>
        <w:rPr>
          <w:rFonts w:asciiTheme="majorHAnsi" w:hAnsiTheme="majorHAnsi" w:cstheme="majorHAnsi"/>
          <w:lang w:val="en-US"/>
        </w:rPr>
        <w:tab/>
        <w:t xml:space="preserve">The results of the MPM reports are quite alarming for the future of media pluralism </w:t>
      </w:r>
      <w:r w:rsidR="0000369E">
        <w:rPr>
          <w:rFonts w:asciiTheme="majorHAnsi" w:hAnsiTheme="majorHAnsi" w:cstheme="majorHAnsi"/>
          <w:lang w:val="en-US"/>
        </w:rPr>
        <w:t>in</w:t>
      </w:r>
      <w:r>
        <w:rPr>
          <w:rFonts w:asciiTheme="majorHAnsi" w:hAnsiTheme="majorHAnsi" w:cstheme="majorHAnsi"/>
          <w:lang w:val="en-US"/>
        </w:rPr>
        <w:t xml:space="preserve"> the EU. A comparison between 2016 and 2017 reports demonstrates that the average risk for the Basic Protection area increased from 28% to 32%, the Market Plurality area from 49% to 53%</w:t>
      </w:r>
      <w:r w:rsidR="00190630">
        <w:rPr>
          <w:rFonts w:asciiTheme="majorHAnsi" w:hAnsiTheme="majorHAnsi" w:cstheme="majorHAnsi"/>
          <w:lang w:val="en-US"/>
        </w:rPr>
        <w:t>,</w:t>
      </w:r>
      <w:r>
        <w:rPr>
          <w:rFonts w:asciiTheme="majorHAnsi" w:hAnsiTheme="majorHAnsi" w:cstheme="majorHAnsi"/>
          <w:lang w:val="en-US"/>
        </w:rPr>
        <w:t xml:space="preserve"> and the Social Inclusiveness area from 47% to 54% while </w:t>
      </w:r>
      <w:r w:rsidR="00190630">
        <w:rPr>
          <w:rFonts w:asciiTheme="majorHAnsi" w:hAnsiTheme="majorHAnsi" w:cstheme="majorHAnsi"/>
          <w:lang w:val="en-US"/>
        </w:rPr>
        <w:t xml:space="preserve">it remained the same for </w:t>
      </w:r>
      <w:r>
        <w:rPr>
          <w:rFonts w:asciiTheme="majorHAnsi" w:hAnsiTheme="majorHAnsi" w:cstheme="majorHAnsi"/>
          <w:lang w:val="en-US"/>
        </w:rPr>
        <w:t>the Political Independence area.</w:t>
      </w:r>
      <w:r>
        <w:rPr>
          <w:rStyle w:val="FootnoteReference"/>
          <w:rFonts w:asciiTheme="majorHAnsi" w:hAnsiTheme="majorHAnsi" w:cstheme="majorHAnsi"/>
          <w:lang w:val="en-US"/>
        </w:rPr>
        <w:footnoteReference w:id="83"/>
      </w:r>
      <w:r w:rsidR="008E4939">
        <w:rPr>
          <w:rFonts w:asciiTheme="majorHAnsi" w:hAnsiTheme="majorHAnsi" w:cstheme="majorHAnsi"/>
          <w:lang w:val="en-US"/>
        </w:rPr>
        <w:t xml:space="preserve"> Not only none of the </w:t>
      </w:r>
      <w:r w:rsidR="0000369E">
        <w:rPr>
          <w:rFonts w:asciiTheme="majorHAnsi" w:hAnsiTheme="majorHAnsi" w:cstheme="majorHAnsi"/>
          <w:lang w:val="en-US"/>
        </w:rPr>
        <w:t>Member States</w:t>
      </w:r>
      <w:r w:rsidR="008E4939">
        <w:rPr>
          <w:rFonts w:asciiTheme="majorHAnsi" w:hAnsiTheme="majorHAnsi" w:cstheme="majorHAnsi"/>
          <w:lang w:val="en-US"/>
        </w:rPr>
        <w:t xml:space="preserve"> and candidate countries are free from threats to media pluralism but also there exists either a stagnation or a deterioration in all areas analysed by the MPM.</w:t>
      </w:r>
      <w:r w:rsidR="008E4939">
        <w:rPr>
          <w:rStyle w:val="FootnoteReference"/>
          <w:rFonts w:asciiTheme="majorHAnsi" w:hAnsiTheme="majorHAnsi" w:cstheme="majorHAnsi"/>
          <w:lang w:val="en-US"/>
        </w:rPr>
        <w:footnoteReference w:id="84"/>
      </w:r>
      <w:r w:rsidR="008E4939">
        <w:rPr>
          <w:rFonts w:asciiTheme="majorHAnsi" w:hAnsiTheme="majorHAnsi" w:cstheme="majorHAnsi"/>
          <w:lang w:val="en-US"/>
        </w:rPr>
        <w:t xml:space="preserve"> Particularly, the increase in the risks for the Basic Protection area, which covers the assessment of fundamental factors for a plural and democratic society including the right to FoEI,</w:t>
      </w:r>
      <w:r w:rsidR="008E4939">
        <w:rPr>
          <w:rStyle w:val="FootnoteReference"/>
          <w:rFonts w:asciiTheme="majorHAnsi" w:hAnsiTheme="majorHAnsi" w:cstheme="majorHAnsi"/>
          <w:lang w:val="en-US"/>
        </w:rPr>
        <w:footnoteReference w:id="85"/>
      </w:r>
      <w:r w:rsidR="008E4939">
        <w:rPr>
          <w:rFonts w:asciiTheme="majorHAnsi" w:hAnsiTheme="majorHAnsi" w:cstheme="majorHAnsi"/>
          <w:lang w:val="en-US"/>
        </w:rPr>
        <w:t xml:space="preserve"> requires close attention and immediate action by the EU policymakers.</w:t>
      </w:r>
      <w:r w:rsidR="00731FA3">
        <w:rPr>
          <w:rFonts w:asciiTheme="majorHAnsi" w:hAnsiTheme="majorHAnsi" w:cstheme="majorHAnsi"/>
          <w:lang w:val="en-US"/>
        </w:rPr>
        <w:t xml:space="preserve"> The CMPF is currently implementing the 2020 MPM which has been improved to capture better the scope of contemporary risks, particularly on the online dimension, to media pluralism.</w:t>
      </w:r>
      <w:r w:rsidR="00731FA3">
        <w:rPr>
          <w:rStyle w:val="FootnoteReference"/>
          <w:rFonts w:asciiTheme="majorHAnsi" w:hAnsiTheme="majorHAnsi" w:cstheme="majorHAnsi"/>
          <w:lang w:val="en-US"/>
        </w:rPr>
        <w:footnoteReference w:id="86"/>
      </w:r>
    </w:p>
    <w:p w:rsidR="00FF6355" w:rsidRDefault="00FF6355" w:rsidP="00FF6355">
      <w:pPr>
        <w:spacing w:line="360" w:lineRule="auto"/>
        <w:jc w:val="both"/>
        <w:rPr>
          <w:rFonts w:asciiTheme="majorHAnsi" w:hAnsiTheme="majorHAnsi" w:cstheme="majorHAnsi"/>
          <w:lang w:val="en-US"/>
        </w:rPr>
      </w:pPr>
      <w:r>
        <w:rPr>
          <w:rFonts w:asciiTheme="majorHAnsi" w:hAnsiTheme="majorHAnsi" w:cstheme="majorHAnsi"/>
          <w:lang w:val="en-US"/>
        </w:rPr>
        <w:lastRenderedPageBreak/>
        <w:tab/>
        <w:t>Turkey, the home country of the author, not only scored a high risk in all main four areas but also in all the indicators in the Basic Protection area, in which it is the only country that scored a high risk. The findings of the reports show that the very fundamental rights, first and foremost the right to FoEI, are systematically undermined and jeopardised in the country.</w:t>
      </w:r>
      <w:r>
        <w:rPr>
          <w:rStyle w:val="FootnoteReference"/>
          <w:rFonts w:asciiTheme="majorHAnsi" w:hAnsiTheme="majorHAnsi" w:cstheme="majorHAnsi"/>
          <w:lang w:val="en-US"/>
        </w:rPr>
        <w:footnoteReference w:id="87"/>
      </w:r>
      <w:r>
        <w:rPr>
          <w:rFonts w:asciiTheme="majorHAnsi" w:hAnsiTheme="majorHAnsi" w:cstheme="majorHAnsi"/>
          <w:lang w:val="en-US"/>
        </w:rPr>
        <w:t xml:space="preserve"> Turkey is described as the “world’s biggest jailer of professional journalists”,</w:t>
      </w:r>
      <w:r>
        <w:rPr>
          <w:rStyle w:val="FootnoteReference"/>
          <w:rFonts w:asciiTheme="majorHAnsi" w:hAnsiTheme="majorHAnsi" w:cstheme="majorHAnsi"/>
          <w:lang w:val="en-US"/>
        </w:rPr>
        <w:footnoteReference w:id="88"/>
      </w:r>
      <w:r>
        <w:rPr>
          <w:rFonts w:asciiTheme="majorHAnsi" w:hAnsiTheme="majorHAnsi" w:cstheme="majorHAnsi"/>
          <w:lang w:val="en-US"/>
        </w:rPr>
        <w:t xml:space="preserve"> where nine out of ten biggest media owners are politically affiliated with the ruling party, which openly impedes media pluralism.</w:t>
      </w:r>
      <w:r>
        <w:rPr>
          <w:rStyle w:val="FootnoteReference"/>
          <w:rFonts w:asciiTheme="majorHAnsi" w:hAnsiTheme="majorHAnsi" w:cstheme="majorHAnsi"/>
          <w:lang w:val="en-US"/>
        </w:rPr>
        <w:footnoteReference w:id="89"/>
      </w:r>
    </w:p>
    <w:p w:rsidR="00793329" w:rsidRPr="00793329" w:rsidRDefault="00793329" w:rsidP="00793329">
      <w:pPr>
        <w:spacing w:line="360" w:lineRule="auto"/>
        <w:jc w:val="both"/>
        <w:rPr>
          <w:rFonts w:asciiTheme="majorHAnsi" w:hAnsiTheme="majorHAnsi" w:cstheme="majorHAnsi"/>
          <w:b/>
          <w:lang w:val="en-US"/>
        </w:rPr>
      </w:pPr>
    </w:p>
    <w:p w:rsidR="00E12923" w:rsidRDefault="00793329" w:rsidP="00EC39B2">
      <w:pPr>
        <w:pStyle w:val="ListParagraph"/>
        <w:numPr>
          <w:ilvl w:val="0"/>
          <w:numId w:val="26"/>
        </w:numPr>
        <w:spacing w:line="360" w:lineRule="auto"/>
        <w:jc w:val="both"/>
        <w:rPr>
          <w:rFonts w:asciiTheme="majorHAnsi" w:hAnsiTheme="majorHAnsi" w:cstheme="majorHAnsi"/>
          <w:b/>
          <w:lang w:val="en-US"/>
        </w:rPr>
      </w:pPr>
      <w:r w:rsidRPr="00AB07B6">
        <w:rPr>
          <w:rFonts w:asciiTheme="majorHAnsi" w:hAnsiTheme="majorHAnsi" w:cstheme="majorHAnsi"/>
          <w:b/>
          <w:lang w:val="en-US"/>
        </w:rPr>
        <w:t xml:space="preserve">European Media </w:t>
      </w:r>
      <w:r w:rsidR="00E12923" w:rsidRPr="00AB07B6">
        <w:rPr>
          <w:rFonts w:asciiTheme="majorHAnsi" w:hAnsiTheme="majorHAnsi" w:cstheme="majorHAnsi"/>
          <w:b/>
          <w:lang w:val="en-US"/>
        </w:rPr>
        <w:t>Initiative</w:t>
      </w:r>
      <w:r w:rsidR="00AB07B6" w:rsidRPr="00AB07B6">
        <w:rPr>
          <w:rFonts w:asciiTheme="majorHAnsi" w:hAnsiTheme="majorHAnsi" w:cstheme="majorHAnsi"/>
          <w:b/>
          <w:lang w:val="en-US"/>
        </w:rPr>
        <w:t xml:space="preserve"> </w:t>
      </w:r>
    </w:p>
    <w:p w:rsidR="00AB07B6" w:rsidRPr="00AB07B6" w:rsidRDefault="00AB07B6" w:rsidP="00AB07B6">
      <w:pPr>
        <w:pStyle w:val="ListParagraph"/>
        <w:spacing w:line="360" w:lineRule="auto"/>
        <w:ind w:left="714"/>
        <w:jc w:val="both"/>
        <w:rPr>
          <w:rFonts w:asciiTheme="majorHAnsi" w:hAnsiTheme="majorHAnsi" w:cstheme="majorHAnsi"/>
          <w:b/>
          <w:lang w:val="en-US"/>
        </w:rPr>
      </w:pPr>
    </w:p>
    <w:p w:rsidR="00793329" w:rsidRDefault="00E12923" w:rsidP="006C6FE3">
      <w:pPr>
        <w:spacing w:line="360" w:lineRule="auto"/>
        <w:jc w:val="both"/>
        <w:rPr>
          <w:rFonts w:asciiTheme="majorHAnsi" w:hAnsiTheme="majorHAnsi" w:cstheme="majorHAnsi"/>
          <w:lang w:val="en-US"/>
        </w:rPr>
      </w:pPr>
      <w:r>
        <w:rPr>
          <w:rFonts w:asciiTheme="majorHAnsi" w:hAnsiTheme="majorHAnsi" w:cstheme="majorHAnsi"/>
          <w:b/>
          <w:lang w:val="en-US"/>
        </w:rPr>
        <w:tab/>
      </w:r>
      <w:r w:rsidR="00976799">
        <w:rPr>
          <w:rFonts w:asciiTheme="majorHAnsi" w:hAnsiTheme="majorHAnsi" w:cstheme="majorHAnsi"/>
          <w:lang w:val="en-US"/>
        </w:rPr>
        <w:t xml:space="preserve">A notable instrument of </w:t>
      </w:r>
      <w:r w:rsidR="00E632F5">
        <w:rPr>
          <w:rFonts w:asciiTheme="majorHAnsi" w:hAnsiTheme="majorHAnsi" w:cstheme="majorHAnsi"/>
          <w:lang w:val="en-US"/>
        </w:rPr>
        <w:t xml:space="preserve">transnational </w:t>
      </w:r>
      <w:r w:rsidR="00976799">
        <w:rPr>
          <w:rFonts w:asciiTheme="majorHAnsi" w:hAnsiTheme="majorHAnsi" w:cstheme="majorHAnsi"/>
          <w:lang w:val="en-US"/>
        </w:rPr>
        <w:t>participatory democracy in the EU is the European Citizens’ Initiative (ECI)</w:t>
      </w:r>
      <w:r w:rsidR="006D56EA">
        <w:rPr>
          <w:rFonts w:asciiTheme="majorHAnsi" w:hAnsiTheme="majorHAnsi" w:cstheme="majorHAnsi"/>
          <w:lang w:val="en-US"/>
        </w:rPr>
        <w:t>.</w:t>
      </w:r>
      <w:r w:rsidR="00976799">
        <w:rPr>
          <w:rStyle w:val="FootnoteReference"/>
          <w:rFonts w:asciiTheme="majorHAnsi" w:hAnsiTheme="majorHAnsi" w:cstheme="majorHAnsi"/>
          <w:lang w:val="en-US"/>
        </w:rPr>
        <w:footnoteReference w:id="90"/>
      </w:r>
      <w:r w:rsidR="00976799">
        <w:rPr>
          <w:rFonts w:asciiTheme="majorHAnsi" w:hAnsiTheme="majorHAnsi" w:cstheme="majorHAnsi"/>
          <w:lang w:val="en-US"/>
        </w:rPr>
        <w:t xml:space="preserve"> It allows </w:t>
      </w:r>
      <w:r w:rsidR="00AB4E32">
        <w:rPr>
          <w:rFonts w:asciiTheme="majorHAnsi" w:hAnsiTheme="majorHAnsi" w:cstheme="majorHAnsi"/>
          <w:lang w:val="en-US"/>
        </w:rPr>
        <w:t xml:space="preserve">citizens of the Member States, upon the fulfillment of </w:t>
      </w:r>
      <w:r w:rsidR="001A6C92">
        <w:rPr>
          <w:rFonts w:asciiTheme="majorHAnsi" w:hAnsiTheme="majorHAnsi" w:cstheme="majorHAnsi"/>
          <w:lang w:val="en-US"/>
        </w:rPr>
        <w:t>certain</w:t>
      </w:r>
      <w:r w:rsidR="00AB4E32">
        <w:rPr>
          <w:rFonts w:asciiTheme="majorHAnsi" w:hAnsiTheme="majorHAnsi" w:cstheme="majorHAnsi"/>
          <w:lang w:val="en-US"/>
        </w:rPr>
        <w:t xml:space="preserve"> requirements, to submit a legislative proposal to the EC within the framework of its powers.</w:t>
      </w:r>
      <w:r w:rsidR="00AB4E32">
        <w:rPr>
          <w:rStyle w:val="FootnoteReference"/>
          <w:rFonts w:asciiTheme="majorHAnsi" w:hAnsiTheme="majorHAnsi" w:cstheme="majorHAnsi"/>
          <w:lang w:val="en-US"/>
        </w:rPr>
        <w:footnoteReference w:id="91"/>
      </w:r>
      <w:r w:rsidR="001A6C92">
        <w:rPr>
          <w:rFonts w:asciiTheme="majorHAnsi" w:hAnsiTheme="majorHAnsi" w:cstheme="majorHAnsi"/>
          <w:lang w:val="en-US"/>
        </w:rPr>
        <w:t xml:space="preserve"> In 2013, the European Initiative for Media Pluralism (EIMP)</w:t>
      </w:r>
      <w:r w:rsidR="00AA3274">
        <w:rPr>
          <w:rFonts w:asciiTheme="majorHAnsi" w:hAnsiTheme="majorHAnsi" w:cstheme="majorHAnsi"/>
          <w:lang w:val="en-US"/>
        </w:rPr>
        <w:t xml:space="preserve">, a coalition consisting of </w:t>
      </w:r>
      <w:r w:rsidR="00DA6877">
        <w:rPr>
          <w:rFonts w:asciiTheme="majorHAnsi" w:hAnsiTheme="majorHAnsi" w:cstheme="majorHAnsi"/>
          <w:lang w:val="en-US"/>
        </w:rPr>
        <w:t xml:space="preserve">nearly 100 </w:t>
      </w:r>
      <w:r w:rsidR="00AA3274">
        <w:rPr>
          <w:rFonts w:asciiTheme="majorHAnsi" w:hAnsiTheme="majorHAnsi" w:cstheme="majorHAnsi"/>
          <w:lang w:val="en-US"/>
        </w:rPr>
        <w:t>organisations,</w:t>
      </w:r>
      <w:r w:rsidR="00DA6877">
        <w:rPr>
          <w:rStyle w:val="FootnoteReference"/>
          <w:rFonts w:asciiTheme="majorHAnsi" w:hAnsiTheme="majorHAnsi" w:cstheme="majorHAnsi"/>
          <w:lang w:val="en-US"/>
        </w:rPr>
        <w:footnoteReference w:id="92"/>
      </w:r>
      <w:r w:rsidR="001A6C92">
        <w:rPr>
          <w:rFonts w:asciiTheme="majorHAnsi" w:hAnsiTheme="majorHAnsi" w:cstheme="majorHAnsi"/>
          <w:lang w:val="en-US"/>
        </w:rPr>
        <w:t xml:space="preserve"> </w:t>
      </w:r>
      <w:r w:rsidR="000F5AAF">
        <w:rPr>
          <w:rFonts w:asciiTheme="majorHAnsi" w:hAnsiTheme="majorHAnsi" w:cstheme="majorHAnsi"/>
          <w:lang w:val="en-US"/>
        </w:rPr>
        <w:t>was</w:t>
      </w:r>
      <w:r w:rsidR="001A6C92">
        <w:rPr>
          <w:rFonts w:asciiTheme="majorHAnsi" w:hAnsiTheme="majorHAnsi" w:cstheme="majorHAnsi"/>
          <w:lang w:val="en-US"/>
        </w:rPr>
        <w:t xml:space="preserve"> launched</w:t>
      </w:r>
      <w:r w:rsidR="006C6FE3" w:rsidRPr="006C6FE3">
        <w:rPr>
          <w:rFonts w:asciiTheme="majorHAnsi" w:hAnsiTheme="majorHAnsi" w:cstheme="majorHAnsi"/>
          <w:lang w:val="en-US"/>
        </w:rPr>
        <w:t xml:space="preserve"> </w:t>
      </w:r>
      <w:r w:rsidR="006C6FE3">
        <w:rPr>
          <w:rFonts w:asciiTheme="majorHAnsi" w:hAnsiTheme="majorHAnsi" w:cstheme="majorHAnsi"/>
          <w:lang w:val="en-US"/>
        </w:rPr>
        <w:t>with the main objectives of harmonizing national rules on media ownership and transparency and ensuring the independence of media supervisory bodies</w:t>
      </w:r>
      <w:r w:rsidR="00D608C8">
        <w:rPr>
          <w:rFonts w:asciiTheme="majorHAnsi" w:hAnsiTheme="majorHAnsi" w:cstheme="majorHAnsi"/>
          <w:lang w:val="en-US"/>
        </w:rPr>
        <w:t>.</w:t>
      </w:r>
      <w:r w:rsidR="00D608C8">
        <w:rPr>
          <w:rStyle w:val="FootnoteReference"/>
          <w:rFonts w:asciiTheme="majorHAnsi" w:hAnsiTheme="majorHAnsi" w:cstheme="majorHAnsi"/>
          <w:lang w:val="en-US"/>
        </w:rPr>
        <w:footnoteReference w:id="93"/>
      </w:r>
      <w:r w:rsidR="006C6FE3">
        <w:rPr>
          <w:rFonts w:asciiTheme="majorHAnsi" w:hAnsiTheme="majorHAnsi" w:cstheme="majorHAnsi"/>
          <w:lang w:val="en-US"/>
        </w:rPr>
        <w:t xml:space="preserve"> </w:t>
      </w:r>
    </w:p>
    <w:p w:rsidR="006C6FE3" w:rsidRDefault="006C6FE3" w:rsidP="006C6FE3">
      <w:pPr>
        <w:spacing w:line="360" w:lineRule="auto"/>
        <w:jc w:val="both"/>
        <w:rPr>
          <w:rFonts w:asciiTheme="majorHAnsi" w:hAnsiTheme="majorHAnsi" w:cstheme="majorHAnsi"/>
          <w:lang w:val="en-US"/>
        </w:rPr>
      </w:pPr>
    </w:p>
    <w:p w:rsidR="00DC71B2" w:rsidRPr="006F63C0" w:rsidRDefault="006C6FE3" w:rsidP="00D52CAC">
      <w:pPr>
        <w:spacing w:line="360" w:lineRule="auto"/>
        <w:jc w:val="both"/>
        <w:rPr>
          <w:rFonts w:asciiTheme="majorHAnsi" w:hAnsiTheme="majorHAnsi" w:cstheme="majorHAnsi"/>
          <w:lang w:val="en-US"/>
        </w:rPr>
      </w:pPr>
      <w:r>
        <w:rPr>
          <w:rFonts w:asciiTheme="majorHAnsi" w:hAnsiTheme="majorHAnsi" w:cstheme="majorHAnsi"/>
          <w:lang w:val="en-US"/>
        </w:rPr>
        <w:tab/>
      </w:r>
      <w:r w:rsidR="00A36F66">
        <w:rPr>
          <w:rFonts w:asciiTheme="majorHAnsi" w:hAnsiTheme="majorHAnsi" w:cstheme="majorHAnsi"/>
          <w:lang w:val="en-US"/>
        </w:rPr>
        <w:t xml:space="preserve">Although the proposal </w:t>
      </w:r>
      <w:r w:rsidR="002376FE">
        <w:rPr>
          <w:rFonts w:asciiTheme="majorHAnsi" w:hAnsiTheme="majorHAnsi" w:cstheme="majorHAnsi"/>
          <w:lang w:val="en-US"/>
        </w:rPr>
        <w:t>was</w:t>
      </w:r>
      <w:r w:rsidR="00A36F66">
        <w:rPr>
          <w:rFonts w:asciiTheme="majorHAnsi" w:hAnsiTheme="majorHAnsi" w:cstheme="majorHAnsi"/>
          <w:lang w:val="en-US"/>
        </w:rPr>
        <w:t xml:space="preserve"> ultimately unsuccessful let alone </w:t>
      </w:r>
      <w:r w:rsidR="002376FE">
        <w:rPr>
          <w:rFonts w:asciiTheme="majorHAnsi" w:hAnsiTheme="majorHAnsi" w:cstheme="majorHAnsi"/>
          <w:lang w:val="en-US"/>
        </w:rPr>
        <w:t>high possibility of being regarded as inadmissible,</w:t>
      </w:r>
      <w:r w:rsidR="002376FE">
        <w:rPr>
          <w:rStyle w:val="FootnoteReference"/>
          <w:rFonts w:asciiTheme="majorHAnsi" w:hAnsiTheme="majorHAnsi" w:cstheme="majorHAnsi"/>
          <w:lang w:val="en-US"/>
        </w:rPr>
        <w:footnoteReference w:id="94"/>
      </w:r>
      <w:r w:rsidR="002376FE">
        <w:rPr>
          <w:rFonts w:asciiTheme="majorHAnsi" w:hAnsiTheme="majorHAnsi" w:cstheme="majorHAnsi"/>
          <w:lang w:val="en-US"/>
        </w:rPr>
        <w:t xml:space="preserve"> </w:t>
      </w:r>
      <w:r w:rsidR="00E47939">
        <w:rPr>
          <w:rFonts w:asciiTheme="majorHAnsi" w:hAnsiTheme="majorHAnsi" w:cstheme="majorHAnsi"/>
          <w:lang w:val="en-US"/>
        </w:rPr>
        <w:t xml:space="preserve">it </w:t>
      </w:r>
      <w:r w:rsidR="000F5AAF">
        <w:rPr>
          <w:rFonts w:asciiTheme="majorHAnsi" w:hAnsiTheme="majorHAnsi" w:cstheme="majorHAnsi"/>
          <w:lang w:val="en-US"/>
        </w:rPr>
        <w:t>demonstrated</w:t>
      </w:r>
      <w:r w:rsidR="00E47939">
        <w:rPr>
          <w:rFonts w:asciiTheme="majorHAnsi" w:hAnsiTheme="majorHAnsi" w:cstheme="majorHAnsi"/>
          <w:lang w:val="en-US"/>
        </w:rPr>
        <w:t xml:space="preserve"> the </w:t>
      </w:r>
      <w:r w:rsidR="000F5AAF">
        <w:rPr>
          <w:rFonts w:asciiTheme="majorHAnsi" w:hAnsiTheme="majorHAnsi" w:cstheme="majorHAnsi"/>
          <w:lang w:val="en-US"/>
        </w:rPr>
        <w:t xml:space="preserve">utmost </w:t>
      </w:r>
      <w:r w:rsidR="00E47939">
        <w:rPr>
          <w:rFonts w:asciiTheme="majorHAnsi" w:hAnsiTheme="majorHAnsi" w:cstheme="majorHAnsi"/>
          <w:lang w:val="en-US"/>
        </w:rPr>
        <w:t>concern of European citizens on the deterioration of media pluralism</w:t>
      </w:r>
      <w:r w:rsidR="00AB07B6">
        <w:rPr>
          <w:rFonts w:asciiTheme="majorHAnsi" w:hAnsiTheme="majorHAnsi" w:cstheme="majorHAnsi"/>
          <w:lang w:val="en-US"/>
        </w:rPr>
        <w:t>,</w:t>
      </w:r>
      <w:r w:rsidR="00E47939">
        <w:rPr>
          <w:rFonts w:asciiTheme="majorHAnsi" w:hAnsiTheme="majorHAnsi" w:cstheme="majorHAnsi"/>
          <w:lang w:val="en-US"/>
        </w:rPr>
        <w:t xml:space="preserve"> which is a threat to democracy</w:t>
      </w:r>
      <w:r w:rsidR="00AB07B6">
        <w:rPr>
          <w:rFonts w:asciiTheme="majorHAnsi" w:hAnsiTheme="majorHAnsi" w:cstheme="majorHAnsi"/>
          <w:lang w:val="en-US"/>
        </w:rPr>
        <w:t>,</w:t>
      </w:r>
      <w:r w:rsidR="00E47939">
        <w:rPr>
          <w:rStyle w:val="FootnoteReference"/>
          <w:rFonts w:asciiTheme="majorHAnsi" w:hAnsiTheme="majorHAnsi" w:cstheme="majorHAnsi"/>
          <w:lang w:val="en-US"/>
        </w:rPr>
        <w:footnoteReference w:id="95"/>
      </w:r>
      <w:r w:rsidR="00E47939">
        <w:rPr>
          <w:rFonts w:asciiTheme="majorHAnsi" w:hAnsiTheme="majorHAnsi" w:cstheme="majorHAnsi"/>
          <w:lang w:val="en-US"/>
        </w:rPr>
        <w:t xml:space="preserve"> given that it </w:t>
      </w:r>
      <w:r w:rsidR="000F5AAF">
        <w:rPr>
          <w:rFonts w:asciiTheme="majorHAnsi" w:hAnsiTheme="majorHAnsi" w:cstheme="majorHAnsi"/>
          <w:lang w:val="en-US"/>
        </w:rPr>
        <w:t>was</w:t>
      </w:r>
      <w:r w:rsidR="00E47939">
        <w:rPr>
          <w:rFonts w:asciiTheme="majorHAnsi" w:hAnsiTheme="majorHAnsi" w:cstheme="majorHAnsi"/>
          <w:lang w:val="en-US"/>
        </w:rPr>
        <w:t xml:space="preserve"> the first use of ECI instrument.</w:t>
      </w:r>
      <w:r w:rsidR="00E47939">
        <w:rPr>
          <w:rStyle w:val="FootnoteReference"/>
          <w:rFonts w:asciiTheme="majorHAnsi" w:hAnsiTheme="majorHAnsi" w:cstheme="majorHAnsi"/>
          <w:lang w:val="en-US"/>
        </w:rPr>
        <w:footnoteReference w:id="96"/>
      </w:r>
      <w:r w:rsidR="00E47939">
        <w:rPr>
          <w:rFonts w:asciiTheme="majorHAnsi" w:hAnsiTheme="majorHAnsi" w:cstheme="majorHAnsi"/>
          <w:lang w:val="en-US"/>
        </w:rPr>
        <w:t xml:space="preserve"> Thus, </w:t>
      </w:r>
      <w:r w:rsidR="00AA3274">
        <w:rPr>
          <w:rFonts w:asciiTheme="majorHAnsi" w:hAnsiTheme="majorHAnsi" w:cstheme="majorHAnsi"/>
          <w:lang w:val="en-US"/>
        </w:rPr>
        <w:t xml:space="preserve">it </w:t>
      </w:r>
      <w:r w:rsidR="000F5AAF">
        <w:rPr>
          <w:rFonts w:asciiTheme="majorHAnsi" w:hAnsiTheme="majorHAnsi" w:cstheme="majorHAnsi"/>
          <w:lang w:val="en-US"/>
        </w:rPr>
        <w:t>was</w:t>
      </w:r>
      <w:r w:rsidR="00AA3274">
        <w:rPr>
          <w:rFonts w:asciiTheme="majorHAnsi" w:hAnsiTheme="majorHAnsi" w:cstheme="majorHAnsi"/>
          <w:lang w:val="en-US"/>
        </w:rPr>
        <w:t xml:space="preserve"> a noteworthy </w:t>
      </w:r>
      <w:r w:rsidR="00E47939">
        <w:rPr>
          <w:rFonts w:asciiTheme="majorHAnsi" w:hAnsiTheme="majorHAnsi" w:cstheme="majorHAnsi"/>
          <w:lang w:val="en-US"/>
        </w:rPr>
        <w:t>effort</w:t>
      </w:r>
      <w:r w:rsidR="00AA3274">
        <w:rPr>
          <w:rFonts w:asciiTheme="majorHAnsi" w:hAnsiTheme="majorHAnsi" w:cstheme="majorHAnsi"/>
          <w:lang w:val="en-US"/>
        </w:rPr>
        <w:t xml:space="preserve"> as the importance of media pluralism voiced directly by the citizens at the European level</w:t>
      </w:r>
      <w:r w:rsidR="00DA6877">
        <w:rPr>
          <w:rFonts w:asciiTheme="majorHAnsi" w:hAnsiTheme="majorHAnsi" w:cstheme="majorHAnsi"/>
          <w:lang w:val="en-US"/>
        </w:rPr>
        <w:t xml:space="preserve"> which contributed to the development of </w:t>
      </w:r>
      <w:r w:rsidR="00DA6877">
        <w:rPr>
          <w:rFonts w:asciiTheme="majorHAnsi" w:hAnsiTheme="majorHAnsi" w:cstheme="majorHAnsi"/>
          <w:lang w:val="en-US"/>
        </w:rPr>
        <w:lastRenderedPageBreak/>
        <w:t>public awareness on the issue</w:t>
      </w:r>
      <w:r w:rsidR="00AA3274">
        <w:rPr>
          <w:rFonts w:asciiTheme="majorHAnsi" w:hAnsiTheme="majorHAnsi" w:cstheme="majorHAnsi"/>
          <w:lang w:val="en-US"/>
        </w:rPr>
        <w:t>.</w:t>
      </w:r>
      <w:r w:rsidR="00AA3274">
        <w:rPr>
          <w:rStyle w:val="FootnoteReference"/>
          <w:rFonts w:asciiTheme="majorHAnsi" w:hAnsiTheme="majorHAnsi" w:cstheme="majorHAnsi"/>
          <w:lang w:val="en-US"/>
        </w:rPr>
        <w:footnoteReference w:id="97"/>
      </w:r>
      <w:r w:rsidR="00AA3274">
        <w:rPr>
          <w:rFonts w:asciiTheme="majorHAnsi" w:hAnsiTheme="majorHAnsi" w:cstheme="majorHAnsi"/>
          <w:lang w:val="en-US"/>
        </w:rPr>
        <w:t xml:space="preserve"> </w:t>
      </w:r>
      <w:r w:rsidR="007A7ABA">
        <w:rPr>
          <w:rFonts w:asciiTheme="majorHAnsi" w:hAnsiTheme="majorHAnsi" w:cstheme="majorHAnsi"/>
          <w:lang w:val="en-US"/>
        </w:rPr>
        <w:t>Today, the movement is renamed as the European Media Initiative and continues to advocate for media pluralism.</w:t>
      </w:r>
      <w:r w:rsidR="007A7ABA">
        <w:rPr>
          <w:rStyle w:val="FootnoteReference"/>
          <w:rFonts w:asciiTheme="majorHAnsi" w:hAnsiTheme="majorHAnsi" w:cstheme="majorHAnsi"/>
          <w:lang w:val="en-US"/>
        </w:rPr>
        <w:footnoteReference w:id="98"/>
      </w:r>
      <w:r w:rsidR="007A7ABA">
        <w:rPr>
          <w:rFonts w:asciiTheme="majorHAnsi" w:hAnsiTheme="majorHAnsi" w:cstheme="majorHAnsi"/>
          <w:lang w:val="en-US"/>
        </w:rPr>
        <w:t xml:space="preserve"> </w:t>
      </w:r>
    </w:p>
    <w:p w:rsidR="00B57DB8" w:rsidRDefault="00B57DB8" w:rsidP="00D52CAC">
      <w:pPr>
        <w:spacing w:line="360" w:lineRule="auto"/>
        <w:jc w:val="both"/>
        <w:rPr>
          <w:lang w:val="en-US"/>
        </w:rPr>
      </w:pPr>
    </w:p>
    <w:p w:rsidR="00666D3D" w:rsidRDefault="00666D3D" w:rsidP="00EC39B2">
      <w:pPr>
        <w:pStyle w:val="ListParagraph"/>
        <w:numPr>
          <w:ilvl w:val="0"/>
          <w:numId w:val="26"/>
        </w:numPr>
        <w:spacing w:line="360" w:lineRule="auto"/>
        <w:jc w:val="both"/>
        <w:rPr>
          <w:rFonts w:asciiTheme="majorHAnsi" w:hAnsiTheme="majorHAnsi" w:cstheme="majorHAnsi"/>
          <w:b/>
          <w:lang w:val="en-US"/>
        </w:rPr>
      </w:pPr>
      <w:r>
        <w:rPr>
          <w:rFonts w:asciiTheme="majorHAnsi" w:hAnsiTheme="majorHAnsi" w:cstheme="majorHAnsi"/>
          <w:b/>
          <w:lang w:val="en-US"/>
        </w:rPr>
        <w:t>Latest Developments at the EU Level</w:t>
      </w:r>
    </w:p>
    <w:p w:rsidR="00DC71B2" w:rsidRDefault="00DC71B2" w:rsidP="00D52CAC">
      <w:pPr>
        <w:spacing w:line="360" w:lineRule="auto"/>
        <w:jc w:val="both"/>
        <w:rPr>
          <w:lang w:val="en-US"/>
        </w:rPr>
      </w:pPr>
    </w:p>
    <w:p w:rsidR="00FF158B" w:rsidRDefault="00666D3D" w:rsidP="00D52CAC">
      <w:pPr>
        <w:spacing w:line="360" w:lineRule="auto"/>
        <w:jc w:val="both"/>
        <w:rPr>
          <w:lang w:val="en-US"/>
        </w:rPr>
      </w:pPr>
      <w:r>
        <w:rPr>
          <w:lang w:val="en-US"/>
        </w:rPr>
        <w:tab/>
        <w:t>In October 2017, Malta’s most famous investigative journalist, Daphne Caruana Galizia, was murdered, due to her investigations on the political corruption and organised crime.</w:t>
      </w:r>
      <w:r>
        <w:rPr>
          <w:rStyle w:val="FootnoteReference"/>
          <w:lang w:val="en-US"/>
        </w:rPr>
        <w:footnoteReference w:id="99"/>
      </w:r>
      <w:r w:rsidR="0035321B">
        <w:rPr>
          <w:lang w:val="en-US"/>
        </w:rPr>
        <w:t xml:space="preserve"> Soon after, in February 2018, another investigative journalist, Jan Kuciak, was murdered along with his fiancée, in Slovakia while he was investigating the same threats to the society.</w:t>
      </w:r>
      <w:r w:rsidR="0035321B">
        <w:rPr>
          <w:rStyle w:val="FootnoteReference"/>
          <w:lang w:val="en-US"/>
        </w:rPr>
        <w:footnoteReference w:id="100"/>
      </w:r>
      <w:r w:rsidR="00053A49">
        <w:rPr>
          <w:lang w:val="en-US"/>
        </w:rPr>
        <w:t xml:space="preserve"> In the face of these appalling attacks to the media freedom and </w:t>
      </w:r>
      <w:r w:rsidR="00646F2D">
        <w:rPr>
          <w:lang w:val="en-US"/>
        </w:rPr>
        <w:t xml:space="preserve">individual </w:t>
      </w:r>
      <w:r w:rsidR="00053A49">
        <w:rPr>
          <w:lang w:val="en-US"/>
        </w:rPr>
        <w:t>jour</w:t>
      </w:r>
      <w:r w:rsidR="00646F2D">
        <w:rPr>
          <w:lang w:val="en-US"/>
        </w:rPr>
        <w:t>nalism, the EP published both a report</w:t>
      </w:r>
      <w:r w:rsidR="007D5E21">
        <w:rPr>
          <w:rStyle w:val="FootnoteReference"/>
          <w:lang w:val="en-US"/>
        </w:rPr>
        <w:footnoteReference w:id="101"/>
      </w:r>
      <w:r w:rsidR="00646F2D">
        <w:rPr>
          <w:lang w:val="en-US"/>
        </w:rPr>
        <w:t xml:space="preserve"> and a resolution</w:t>
      </w:r>
      <w:r w:rsidR="007D5E21">
        <w:rPr>
          <w:rStyle w:val="FootnoteReference"/>
          <w:lang w:val="en-US"/>
        </w:rPr>
        <w:footnoteReference w:id="102"/>
      </w:r>
      <w:r w:rsidR="00646F2D">
        <w:rPr>
          <w:lang w:val="en-US"/>
        </w:rPr>
        <w:t xml:space="preserve"> in early 2018 on media freedom and pluralism. </w:t>
      </w:r>
      <w:r w:rsidR="007D5E21">
        <w:rPr>
          <w:lang w:val="en-US"/>
        </w:rPr>
        <w:t xml:space="preserve">In the 2018 report, </w:t>
      </w:r>
      <w:r w:rsidR="00FF158B">
        <w:rPr>
          <w:lang w:val="en-US"/>
        </w:rPr>
        <w:t>the EP underlined that the political pressure and economic interest on the media freedom, pluralism</w:t>
      </w:r>
      <w:r w:rsidR="00AB07B6">
        <w:rPr>
          <w:lang w:val="en-US"/>
        </w:rPr>
        <w:t>,</w:t>
      </w:r>
      <w:r w:rsidR="00FF158B">
        <w:rPr>
          <w:lang w:val="en-US"/>
        </w:rPr>
        <w:t xml:space="preserve"> and independence in the EU have been on the rise and recommended that, </w:t>
      </w:r>
      <w:r w:rsidR="00AB07B6" w:rsidRPr="00AB07B6">
        <w:rPr>
          <w:i/>
          <w:lang w:val="en-US"/>
        </w:rPr>
        <w:t>inter alia</w:t>
      </w:r>
      <w:r w:rsidR="00FF158B">
        <w:rPr>
          <w:lang w:val="en-US"/>
        </w:rPr>
        <w:t>, each Member State has to conduct</w:t>
      </w:r>
      <w:r w:rsidR="00AB07B6">
        <w:rPr>
          <w:lang w:val="en-US"/>
        </w:rPr>
        <w:t xml:space="preserve"> an</w:t>
      </w:r>
      <w:r w:rsidR="00FF158B">
        <w:rPr>
          <w:lang w:val="en-US"/>
        </w:rPr>
        <w:t xml:space="preserve"> independent review of their national laws and practices to foster media freedom and pluralism</w:t>
      </w:r>
      <w:r w:rsidR="00AB07B6">
        <w:rPr>
          <w:lang w:val="en-US"/>
        </w:rPr>
        <w:t xml:space="preserve">; </w:t>
      </w:r>
      <w:r w:rsidR="00FF158B">
        <w:rPr>
          <w:lang w:val="en-US"/>
        </w:rPr>
        <w:t xml:space="preserve">the MPM has to </w:t>
      </w:r>
      <w:r w:rsidR="00B613C7">
        <w:rPr>
          <w:lang w:val="en-US"/>
        </w:rPr>
        <w:t xml:space="preserve">be </w:t>
      </w:r>
      <w:r w:rsidR="00FF158B">
        <w:rPr>
          <w:lang w:val="en-US"/>
        </w:rPr>
        <w:t>strengthen and its results concerning candidate countries need to be taken into account during the negotiation process</w:t>
      </w:r>
      <w:r w:rsidR="00D84101">
        <w:rPr>
          <w:lang w:val="en-US"/>
        </w:rPr>
        <w:t>,</w:t>
      </w:r>
      <w:r w:rsidR="00FF158B">
        <w:rPr>
          <w:lang w:val="en-US"/>
        </w:rPr>
        <w:t xml:space="preserve"> and all public funding provided to media owners needs to be regularly monitored.</w:t>
      </w:r>
      <w:r w:rsidR="00FF158B">
        <w:rPr>
          <w:rStyle w:val="FootnoteReference"/>
          <w:lang w:val="en-US"/>
        </w:rPr>
        <w:footnoteReference w:id="103"/>
      </w:r>
      <w:r w:rsidR="00FF158B">
        <w:rPr>
          <w:lang w:val="en-US"/>
        </w:rPr>
        <w:t xml:space="preserve"> Likewise, in the Resolution, the EP reminded the Member States of their positive obligation to adopt adequate regulations fostering the development of free, independent</w:t>
      </w:r>
      <w:r w:rsidR="00AB07B6">
        <w:rPr>
          <w:lang w:val="en-US"/>
        </w:rPr>
        <w:t>,</w:t>
      </w:r>
      <w:r w:rsidR="00FF158B">
        <w:rPr>
          <w:lang w:val="en-US"/>
        </w:rPr>
        <w:t xml:space="preserve"> and pluralistic media as well as </w:t>
      </w:r>
      <w:r w:rsidR="00AB07B6">
        <w:rPr>
          <w:lang w:val="en-US"/>
        </w:rPr>
        <w:t xml:space="preserve">emphasised </w:t>
      </w:r>
      <w:r w:rsidR="00FF158B">
        <w:rPr>
          <w:lang w:val="en-US"/>
        </w:rPr>
        <w:t xml:space="preserve">the need for </w:t>
      </w:r>
      <w:r w:rsidR="00D84101">
        <w:rPr>
          <w:lang w:val="en-US"/>
        </w:rPr>
        <w:t xml:space="preserve">(further) </w:t>
      </w:r>
      <w:r w:rsidR="00FF158B">
        <w:rPr>
          <w:lang w:val="en-US"/>
        </w:rPr>
        <w:t>EU intervention in the presence of increased pressure on and threats against journalists.</w:t>
      </w:r>
      <w:r w:rsidR="00FF158B">
        <w:rPr>
          <w:rStyle w:val="FootnoteReference"/>
          <w:lang w:val="en-US"/>
        </w:rPr>
        <w:footnoteReference w:id="104"/>
      </w:r>
      <w:r w:rsidR="00586573">
        <w:rPr>
          <w:lang w:val="en-US"/>
        </w:rPr>
        <w:t xml:space="preserve"> Moreover, the EP stressed the need </w:t>
      </w:r>
      <w:r w:rsidR="00AB07B6">
        <w:rPr>
          <w:lang w:val="en-US"/>
        </w:rPr>
        <w:t>for</w:t>
      </w:r>
      <w:r w:rsidR="00586573">
        <w:rPr>
          <w:lang w:val="en-US"/>
        </w:rPr>
        <w:t xml:space="preserve"> EU</w:t>
      </w:r>
      <w:r w:rsidR="00D84101">
        <w:rPr>
          <w:lang w:val="en-US"/>
        </w:rPr>
        <w:t>-</w:t>
      </w:r>
      <w:r w:rsidR="00586573">
        <w:rPr>
          <w:lang w:val="en-US"/>
        </w:rPr>
        <w:t xml:space="preserve">level action concerning the concentration of power of search engines, social media </w:t>
      </w:r>
      <w:r w:rsidR="00586573">
        <w:rPr>
          <w:lang w:val="en-US"/>
        </w:rPr>
        <w:lastRenderedPageBreak/>
        <w:t>platforms</w:t>
      </w:r>
      <w:r w:rsidR="00AB07B6">
        <w:rPr>
          <w:lang w:val="en-US"/>
        </w:rPr>
        <w:t>,</w:t>
      </w:r>
      <w:r w:rsidR="00586573">
        <w:rPr>
          <w:lang w:val="en-US"/>
        </w:rPr>
        <w:t xml:space="preserve"> and other internet intermediaries as well as the high-level </w:t>
      </w:r>
      <w:r w:rsidR="00627EA1">
        <w:rPr>
          <w:lang w:val="en-US"/>
        </w:rPr>
        <w:t>concentration</w:t>
      </w:r>
      <w:r w:rsidR="00586573">
        <w:rPr>
          <w:lang w:val="en-US"/>
        </w:rPr>
        <w:t xml:space="preserve"> on the ownership of traditional media.</w:t>
      </w:r>
      <w:r w:rsidR="00586573">
        <w:rPr>
          <w:rStyle w:val="FootnoteReference"/>
          <w:lang w:val="en-US"/>
        </w:rPr>
        <w:footnoteReference w:id="105"/>
      </w:r>
      <w:r w:rsidR="00586573">
        <w:rPr>
          <w:lang w:val="en-US"/>
        </w:rPr>
        <w:t xml:space="preserve"> </w:t>
      </w:r>
    </w:p>
    <w:p w:rsidR="00053A49" w:rsidRDefault="00053A49" w:rsidP="00D52CAC">
      <w:pPr>
        <w:spacing w:line="360" w:lineRule="auto"/>
        <w:jc w:val="both"/>
        <w:rPr>
          <w:lang w:val="en-US"/>
        </w:rPr>
      </w:pPr>
    </w:p>
    <w:p w:rsidR="00B81BE6" w:rsidRDefault="00053A49" w:rsidP="00D52CAC">
      <w:pPr>
        <w:spacing w:line="360" w:lineRule="auto"/>
        <w:jc w:val="both"/>
        <w:rPr>
          <w:lang w:val="en-US"/>
        </w:rPr>
      </w:pPr>
      <w:r>
        <w:rPr>
          <w:lang w:val="en-US"/>
        </w:rPr>
        <w:tab/>
      </w:r>
      <w:r w:rsidR="00AB07B6">
        <w:rPr>
          <w:lang w:val="en-US"/>
        </w:rPr>
        <w:t>In May 2018, t</w:t>
      </w:r>
      <w:r w:rsidR="003B4E5A">
        <w:rPr>
          <w:lang w:val="en-US"/>
        </w:rPr>
        <w:t xml:space="preserve">he EC proposed a regulation establishing the Creative Europe Programme, the objectives of which include, </w:t>
      </w:r>
      <w:r w:rsidR="003B4E5A" w:rsidRPr="0030721C">
        <w:rPr>
          <w:i/>
          <w:lang w:val="en-US"/>
        </w:rPr>
        <w:t>inter alia</w:t>
      </w:r>
      <w:r w:rsidR="003B4E5A">
        <w:rPr>
          <w:lang w:val="en-US"/>
        </w:rPr>
        <w:t xml:space="preserve">, </w:t>
      </w:r>
      <w:r w:rsidR="0030721C">
        <w:rPr>
          <w:lang w:val="en-US"/>
        </w:rPr>
        <w:t>the promotion of a free, diverse</w:t>
      </w:r>
      <w:r w:rsidR="00F6563C">
        <w:rPr>
          <w:lang w:val="en-US"/>
        </w:rPr>
        <w:t>,</w:t>
      </w:r>
      <w:r w:rsidR="0030721C">
        <w:rPr>
          <w:lang w:val="en-US"/>
        </w:rPr>
        <w:t xml:space="preserve"> and pluralistic media environment, reinforcing Europe’s media sector and enhancing the pluralism of journalistic content.</w:t>
      </w:r>
      <w:r w:rsidR="0030721C">
        <w:rPr>
          <w:rStyle w:val="FootnoteReference"/>
          <w:lang w:val="en-US"/>
        </w:rPr>
        <w:footnoteReference w:id="106"/>
      </w:r>
      <w:r w:rsidR="0030721C">
        <w:rPr>
          <w:lang w:val="en-US"/>
        </w:rPr>
        <w:t xml:space="preserve"> </w:t>
      </w:r>
      <w:r w:rsidR="003B4E5A">
        <w:rPr>
          <w:lang w:val="en-US"/>
        </w:rPr>
        <w:t>Furthermore, i</w:t>
      </w:r>
      <w:r>
        <w:rPr>
          <w:lang w:val="en-US"/>
        </w:rPr>
        <w:t>n April 2019, the EC launched an initiative to strengthen the rule of law in the EU</w:t>
      </w:r>
      <w:r>
        <w:rPr>
          <w:rStyle w:val="FootnoteReference"/>
          <w:lang w:val="en-US"/>
        </w:rPr>
        <w:footnoteReference w:id="107"/>
      </w:r>
      <w:r>
        <w:rPr>
          <w:lang w:val="en-US"/>
        </w:rPr>
        <w:t xml:space="preserve"> and within this scope, published a Communication, based on three pillars for subsequent action, namely promotion, prevention, and response.</w:t>
      </w:r>
      <w:r>
        <w:rPr>
          <w:rStyle w:val="FootnoteReference"/>
          <w:lang w:val="en-US"/>
        </w:rPr>
        <w:footnoteReference w:id="108"/>
      </w:r>
      <w:r>
        <w:rPr>
          <w:lang w:val="en-US"/>
        </w:rPr>
        <w:t xml:space="preserve"> The EC underlined that the right to FoEI as well as media freedom and pluralism are among the founding values of the EU and threats in the forms of attempts to weaken or pressure </w:t>
      </w:r>
      <w:r w:rsidR="00B81BE6">
        <w:rPr>
          <w:lang w:val="en-US"/>
        </w:rPr>
        <w:t>the</w:t>
      </w:r>
      <w:r>
        <w:rPr>
          <w:lang w:val="en-US"/>
        </w:rPr>
        <w:t xml:space="preserve"> civil society and independent media are a matter of significant concern for the Rule of Law.</w:t>
      </w:r>
      <w:r>
        <w:rPr>
          <w:rStyle w:val="FootnoteReference"/>
          <w:lang w:val="en-US"/>
        </w:rPr>
        <w:footnoteReference w:id="109"/>
      </w:r>
      <w:r>
        <w:rPr>
          <w:lang w:val="en-US"/>
        </w:rPr>
        <w:t xml:space="preserve"> In this context, a chapter of the 2020 Rule of Law report will be dedicated to media freedom and pluralism </w:t>
      </w:r>
      <w:r w:rsidR="00486CF5">
        <w:rPr>
          <w:lang w:val="en-US"/>
        </w:rPr>
        <w:t>and</w:t>
      </w:r>
      <w:r>
        <w:rPr>
          <w:lang w:val="en-US"/>
        </w:rPr>
        <w:t xml:space="preserve"> forthcoming European Democracy Action Plan will include further initiatives to strengthen such in the EU,</w:t>
      </w:r>
      <w:r>
        <w:rPr>
          <w:rStyle w:val="FootnoteReference"/>
          <w:lang w:val="en-US"/>
        </w:rPr>
        <w:footnoteReference w:id="110"/>
      </w:r>
      <w:r>
        <w:rPr>
          <w:lang w:val="en-US"/>
        </w:rPr>
        <w:t xml:space="preserve"> counter disinformation and support free and independent media.</w:t>
      </w:r>
      <w:r>
        <w:rPr>
          <w:rStyle w:val="FootnoteReference"/>
          <w:lang w:val="en-US"/>
        </w:rPr>
        <w:footnoteReference w:id="111"/>
      </w:r>
      <w:r w:rsidR="00B81BE6">
        <w:rPr>
          <w:lang w:val="en-US"/>
        </w:rPr>
        <w:t xml:space="preserve"> </w:t>
      </w:r>
    </w:p>
    <w:p w:rsidR="00B81BE6" w:rsidRDefault="00B81BE6" w:rsidP="00D52CAC">
      <w:pPr>
        <w:spacing w:line="360" w:lineRule="auto"/>
        <w:jc w:val="both"/>
        <w:rPr>
          <w:lang w:val="en-US"/>
        </w:rPr>
      </w:pPr>
    </w:p>
    <w:p w:rsidR="0050438C" w:rsidRDefault="00B81BE6" w:rsidP="006F63C0">
      <w:pPr>
        <w:spacing w:line="360" w:lineRule="auto"/>
        <w:jc w:val="both"/>
        <w:rPr>
          <w:lang w:val="en-US"/>
        </w:rPr>
      </w:pPr>
      <w:r>
        <w:rPr>
          <w:lang w:val="en-US"/>
        </w:rPr>
        <w:tab/>
        <w:t xml:space="preserve">A joint civil society organisation recently published a recommendation document welcoming the latest initiatives by the EC on media freedom and pluralism, underlining the existence of severe threats to media pluralism due to media capture by state actors and ownership concentration by private powers and </w:t>
      </w:r>
      <w:r w:rsidR="00AB07B6">
        <w:rPr>
          <w:lang w:val="en-US"/>
        </w:rPr>
        <w:t>particularly</w:t>
      </w:r>
      <w:r>
        <w:rPr>
          <w:lang w:val="en-US"/>
        </w:rPr>
        <w:t xml:space="preserve"> the ever-increasing need for an independent, pluralist</w:t>
      </w:r>
      <w:r w:rsidR="00AB07B6">
        <w:rPr>
          <w:lang w:val="en-US"/>
        </w:rPr>
        <w:t>,</w:t>
      </w:r>
      <w:r>
        <w:rPr>
          <w:lang w:val="en-US"/>
        </w:rPr>
        <w:t xml:space="preserve"> and sustainable media sector at the time where the Covid-19 crisis is used by States to surpass the right to FoEI and recommending the adoption and enforcement of rules on the transparency of media ownership </w:t>
      </w:r>
      <w:r w:rsidR="00B613C7">
        <w:rPr>
          <w:lang w:val="en-US"/>
        </w:rPr>
        <w:t>and</w:t>
      </w:r>
      <w:r>
        <w:rPr>
          <w:lang w:val="en-US"/>
        </w:rPr>
        <w:t xml:space="preserve"> the independence of the media.</w:t>
      </w:r>
      <w:r>
        <w:rPr>
          <w:rStyle w:val="FootnoteReference"/>
          <w:lang w:val="en-US"/>
        </w:rPr>
        <w:footnoteReference w:id="112"/>
      </w:r>
    </w:p>
    <w:p w:rsidR="00F6563C" w:rsidRDefault="00F6563C" w:rsidP="00F6563C">
      <w:pPr>
        <w:jc w:val="center"/>
        <w:rPr>
          <w:b/>
          <w:lang w:val="en-US"/>
        </w:rPr>
      </w:pPr>
      <w:r>
        <w:rPr>
          <w:b/>
          <w:lang w:val="en-US"/>
        </w:rPr>
        <w:lastRenderedPageBreak/>
        <w:t>CONCLUSION</w:t>
      </w:r>
    </w:p>
    <w:p w:rsidR="005F1C9B" w:rsidRDefault="005F1C9B" w:rsidP="00F6563C">
      <w:pPr>
        <w:jc w:val="center"/>
        <w:rPr>
          <w:b/>
          <w:lang w:val="en-US"/>
        </w:rPr>
      </w:pPr>
    </w:p>
    <w:p w:rsidR="005F1C9B" w:rsidRPr="006A4AB1" w:rsidRDefault="005F1C9B" w:rsidP="00F6563C">
      <w:pPr>
        <w:jc w:val="center"/>
        <w:rPr>
          <w:b/>
          <w:lang w:val="en-US"/>
        </w:rPr>
      </w:pPr>
    </w:p>
    <w:p w:rsidR="00D74299" w:rsidRDefault="00EB056D" w:rsidP="00D52CAC">
      <w:pPr>
        <w:spacing w:line="360" w:lineRule="auto"/>
        <w:jc w:val="both"/>
        <w:rPr>
          <w:lang w:val="en-US"/>
        </w:rPr>
      </w:pPr>
      <w:r>
        <w:rPr>
          <w:lang w:val="en-US"/>
        </w:rPr>
        <w:tab/>
      </w:r>
      <w:r w:rsidR="0050438C">
        <w:rPr>
          <w:lang w:val="en-US"/>
        </w:rPr>
        <w:t xml:space="preserve">“Scientia potential est.” While the well-known aphorism, meaning ‘knowledge/information is power’, is still valid, in today’s digital </w:t>
      </w:r>
      <w:r w:rsidR="00D74299">
        <w:rPr>
          <w:lang w:val="en-US"/>
        </w:rPr>
        <w:t>era</w:t>
      </w:r>
      <w:r w:rsidR="0050438C">
        <w:rPr>
          <w:lang w:val="en-US"/>
        </w:rPr>
        <w:t xml:space="preserve"> where </w:t>
      </w:r>
      <w:r w:rsidR="00D74299">
        <w:rPr>
          <w:lang w:val="en-US"/>
        </w:rPr>
        <w:t>we are being bombarded by an excessive level of information from various sources each day, what actually matters is the widespread presence of ‘reliable’ and ‘diverse’ information. Without such, it will be just a matter of time before our fundamental rights are taken away one by one, starting with the right to freedom of expression and information. The position of media in this context is substantial, insomuch that promoting media freedom and pluralism is de facto stands for protecting the democracy itself.</w:t>
      </w:r>
    </w:p>
    <w:p w:rsidR="00D74299" w:rsidRDefault="00D74299" w:rsidP="00D52CAC">
      <w:pPr>
        <w:spacing w:line="360" w:lineRule="auto"/>
        <w:jc w:val="both"/>
        <w:rPr>
          <w:lang w:val="en-US"/>
        </w:rPr>
      </w:pPr>
    </w:p>
    <w:p w:rsidR="00BF705B" w:rsidRDefault="00D74299" w:rsidP="00F01832">
      <w:pPr>
        <w:spacing w:line="360" w:lineRule="auto"/>
        <w:jc w:val="both"/>
        <w:rPr>
          <w:lang w:val="en-US"/>
        </w:rPr>
      </w:pPr>
      <w:r>
        <w:rPr>
          <w:lang w:val="en-US"/>
        </w:rPr>
        <w:tab/>
        <w:t xml:space="preserve">While the Charter safeguards freedom and plurality of the media at the highest order, not only the </w:t>
      </w:r>
      <w:r w:rsidR="00F01832">
        <w:rPr>
          <w:lang w:val="en-US"/>
        </w:rPr>
        <w:t>lack</w:t>
      </w:r>
      <w:r>
        <w:rPr>
          <w:lang w:val="en-US"/>
        </w:rPr>
        <w:t xml:space="preserve"> of a legal basis for </w:t>
      </w:r>
      <w:r w:rsidR="00F01832">
        <w:rPr>
          <w:lang w:val="en-US"/>
        </w:rPr>
        <w:t xml:space="preserve">a </w:t>
      </w:r>
      <w:r>
        <w:rPr>
          <w:lang w:val="en-US"/>
        </w:rPr>
        <w:t xml:space="preserve">direct EU intervention but also the various political and cultural approaches of the Member States to </w:t>
      </w:r>
      <w:r w:rsidR="00F01832">
        <w:rPr>
          <w:lang w:val="en-US"/>
        </w:rPr>
        <w:t xml:space="preserve">media pluralism resulted in the absence of specific legislation aimed solely at fostering media pluralism at the EU-level. </w:t>
      </w:r>
      <w:r w:rsidR="00BF705B">
        <w:rPr>
          <w:lang w:val="en-US"/>
        </w:rPr>
        <w:t>Thus</w:t>
      </w:r>
      <w:r w:rsidR="00F01832">
        <w:rPr>
          <w:lang w:val="en-US"/>
        </w:rPr>
        <w:t xml:space="preserve">, the only existing hard-law instruments of the EU are the competition law measures and a number of rules under the AVMSD. However, the competition law cannot </w:t>
      </w:r>
      <w:r w:rsidR="00F01832" w:rsidRPr="00F01832">
        <w:rPr>
          <w:i/>
          <w:lang w:val="en-US"/>
        </w:rPr>
        <w:t>per se</w:t>
      </w:r>
      <w:r w:rsidR="00F01832">
        <w:rPr>
          <w:lang w:val="en-US"/>
        </w:rPr>
        <w:t xml:space="preserve"> be a solution as its essential focus is distant and thus, its effect in promoting media pluralism is indirect and limited. Likewise, some of the rules under the AVMSD contributes to media pluralism, but they also have certain weaknesses</w:t>
      </w:r>
      <w:r w:rsidR="006B64E8">
        <w:rPr>
          <w:lang w:val="en-US"/>
        </w:rPr>
        <w:t xml:space="preserve"> in practice</w:t>
      </w:r>
      <w:r w:rsidR="00F01832">
        <w:rPr>
          <w:lang w:val="en-US"/>
        </w:rPr>
        <w:t xml:space="preserve">. </w:t>
      </w:r>
      <w:r w:rsidR="00BF705B">
        <w:rPr>
          <w:lang w:val="en-US"/>
        </w:rPr>
        <w:t xml:space="preserve">Hence, the EU involvement in this field is mostly through soft-law instruments, notably the MPM and academic </w:t>
      </w:r>
      <w:r w:rsidR="007627EE">
        <w:rPr>
          <w:lang w:val="en-US"/>
        </w:rPr>
        <w:t xml:space="preserve">&amp; parliamentary </w:t>
      </w:r>
      <w:r w:rsidR="00BF705B">
        <w:rPr>
          <w:lang w:val="en-US"/>
        </w:rPr>
        <w:t xml:space="preserve">reports </w:t>
      </w:r>
      <w:r w:rsidR="007627EE">
        <w:rPr>
          <w:lang w:val="en-US"/>
        </w:rPr>
        <w:t xml:space="preserve">and recommendations. Although the EU-level applications of the MPM are particularly important to diagnose the existing threats, its overall effects cannot go beyond naming and shaming. </w:t>
      </w:r>
    </w:p>
    <w:p w:rsidR="00F01832" w:rsidRDefault="00F01832" w:rsidP="00F01832">
      <w:pPr>
        <w:spacing w:line="360" w:lineRule="auto"/>
        <w:jc w:val="both"/>
        <w:rPr>
          <w:lang w:val="en-US"/>
        </w:rPr>
      </w:pPr>
    </w:p>
    <w:p w:rsidR="0070432D" w:rsidRDefault="007627EE" w:rsidP="0070432D">
      <w:pPr>
        <w:spacing w:line="360" w:lineRule="auto"/>
        <w:jc w:val="both"/>
        <w:rPr>
          <w:lang w:val="en-US"/>
        </w:rPr>
      </w:pPr>
      <w:r>
        <w:rPr>
          <w:lang w:val="en-US"/>
        </w:rPr>
        <w:tab/>
        <w:t xml:space="preserve">Not only the media conjuncture in certain Member States such as Hungary and Poland but also the conclusion of the MPM as none of </w:t>
      </w:r>
      <w:r w:rsidR="006B64E8">
        <w:rPr>
          <w:lang w:val="en-US"/>
        </w:rPr>
        <w:t xml:space="preserve">the </w:t>
      </w:r>
      <w:r>
        <w:rPr>
          <w:lang w:val="en-US"/>
        </w:rPr>
        <w:t>European countries are free from risks to freedom and plurality of media undoubtedly demonstrate that the Member States are not able to cope with the issues</w:t>
      </w:r>
      <w:r w:rsidR="0070432D">
        <w:rPr>
          <w:lang w:val="en-US"/>
        </w:rPr>
        <w:t xml:space="preserve"> by themselves, in particular the ones arising from cross-border broadcasting and the involvement of global media players. Hence, the EU intervention through a specific regulation safeguarding media pluralism is a must, however</w:t>
      </w:r>
      <w:r w:rsidR="006B64E8">
        <w:rPr>
          <w:lang w:val="en-US"/>
        </w:rPr>
        <w:t>,</w:t>
      </w:r>
      <w:r w:rsidR="0070432D">
        <w:rPr>
          <w:lang w:val="en-US"/>
        </w:rPr>
        <w:t xml:space="preserve"> it is not likely to come into existence anytime soon due to the need for an amendment to Treaties and the current political conjuncture in the EU. The Covid-19 crisis only set such (possible) initiative even further back. Lastly, along with the already existing threats, the internet, social media platforms</w:t>
      </w:r>
      <w:r w:rsidR="006B64E8">
        <w:rPr>
          <w:lang w:val="en-US"/>
        </w:rPr>
        <w:t>,</w:t>
      </w:r>
      <w:r w:rsidR="0070432D">
        <w:rPr>
          <w:lang w:val="en-US"/>
        </w:rPr>
        <w:t xml:space="preserve"> and search engines bring new challenges to media pluralism, such as the </w:t>
      </w:r>
      <w:r w:rsidR="006B64E8">
        <w:rPr>
          <w:lang w:val="en-US"/>
        </w:rPr>
        <w:t>high-level</w:t>
      </w:r>
      <w:r w:rsidR="0070432D">
        <w:rPr>
          <w:lang w:val="en-US"/>
        </w:rPr>
        <w:t xml:space="preserve"> </w:t>
      </w:r>
      <w:r w:rsidR="0070432D">
        <w:rPr>
          <w:lang w:val="en-US"/>
        </w:rPr>
        <w:lastRenderedPageBreak/>
        <w:t xml:space="preserve">concentration in market players and their vast market power. In subsequent years, </w:t>
      </w:r>
      <w:r w:rsidR="001B21F0">
        <w:rPr>
          <w:lang w:val="en-US"/>
        </w:rPr>
        <w:t>the EU will more and more have to address these new challenges to media freedom and pluralism.</w:t>
      </w:r>
    </w:p>
    <w:p w:rsidR="0070432D" w:rsidRDefault="007043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6F63C0" w:rsidRDefault="006F63C0" w:rsidP="002B3F59">
      <w:pPr>
        <w:jc w:val="center"/>
        <w:rPr>
          <w:lang w:val="en-US"/>
        </w:rPr>
      </w:pPr>
    </w:p>
    <w:p w:rsidR="00E5042D" w:rsidRDefault="00E5042D" w:rsidP="002B3F59">
      <w:pPr>
        <w:jc w:val="center"/>
        <w:rPr>
          <w:lang w:val="en-US"/>
        </w:rPr>
      </w:pPr>
    </w:p>
    <w:p w:rsidR="00E5042D" w:rsidRDefault="00E5042D" w:rsidP="002B3F59">
      <w:pPr>
        <w:jc w:val="center"/>
        <w:rPr>
          <w:lang w:val="en-US"/>
        </w:rPr>
      </w:pPr>
    </w:p>
    <w:p w:rsidR="006B64E8" w:rsidRDefault="006B64E8"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F63C0" w:rsidRDefault="006F63C0" w:rsidP="002B3F59">
      <w:pPr>
        <w:jc w:val="center"/>
        <w:rPr>
          <w:lang w:val="en-US"/>
        </w:rPr>
      </w:pPr>
    </w:p>
    <w:p w:rsidR="006B64E8" w:rsidRDefault="006B64E8" w:rsidP="002B3F59">
      <w:pPr>
        <w:jc w:val="center"/>
        <w:rPr>
          <w:lang w:val="en-US"/>
        </w:rPr>
      </w:pPr>
    </w:p>
    <w:p w:rsidR="006B64E8" w:rsidRPr="0052129A" w:rsidRDefault="006B64E8" w:rsidP="0052129A">
      <w:pPr>
        <w:jc w:val="both"/>
        <w:rPr>
          <w:rFonts w:asciiTheme="majorHAnsi" w:hAnsiTheme="majorHAnsi" w:cstheme="majorHAnsi"/>
          <w:lang w:val="en-US"/>
        </w:rPr>
      </w:pPr>
    </w:p>
    <w:p w:rsidR="006B64E8" w:rsidRPr="0052129A" w:rsidRDefault="006B64E8" w:rsidP="0052129A">
      <w:pPr>
        <w:jc w:val="both"/>
        <w:rPr>
          <w:rFonts w:asciiTheme="majorHAnsi" w:hAnsiTheme="majorHAnsi" w:cstheme="majorHAnsi"/>
          <w:lang w:val="en-US"/>
        </w:rPr>
      </w:pPr>
    </w:p>
    <w:p w:rsidR="002B3F59" w:rsidRPr="0052129A" w:rsidRDefault="002B3F59" w:rsidP="00E5042D">
      <w:pPr>
        <w:jc w:val="center"/>
        <w:rPr>
          <w:rFonts w:asciiTheme="majorHAnsi" w:hAnsiTheme="majorHAnsi" w:cstheme="majorHAnsi"/>
          <w:b/>
          <w:lang w:val="en-US"/>
        </w:rPr>
      </w:pPr>
      <w:r w:rsidRPr="0052129A">
        <w:rPr>
          <w:rFonts w:asciiTheme="majorHAnsi" w:hAnsiTheme="majorHAnsi" w:cstheme="majorHAnsi"/>
          <w:b/>
          <w:lang w:val="en-US"/>
        </w:rPr>
        <w:lastRenderedPageBreak/>
        <w:t>BIBLIOGRAPHY</w:t>
      </w:r>
    </w:p>
    <w:p w:rsidR="002B3F59" w:rsidRPr="0052129A" w:rsidRDefault="002B3F59" w:rsidP="0052129A">
      <w:pPr>
        <w:jc w:val="both"/>
        <w:rPr>
          <w:rFonts w:asciiTheme="majorHAnsi" w:hAnsiTheme="majorHAnsi" w:cstheme="majorHAnsi"/>
          <w:b/>
          <w:lang w:val="en-US"/>
        </w:rPr>
      </w:pPr>
    </w:p>
    <w:p w:rsidR="002B3F59" w:rsidRPr="0052129A" w:rsidRDefault="002B3F59" w:rsidP="0052129A">
      <w:pPr>
        <w:jc w:val="both"/>
        <w:rPr>
          <w:rFonts w:asciiTheme="majorHAnsi" w:hAnsiTheme="majorHAnsi" w:cstheme="majorHAnsi"/>
          <w:b/>
          <w:lang w:val="en-US"/>
        </w:rPr>
      </w:pPr>
      <w:r w:rsidRPr="0052129A">
        <w:rPr>
          <w:rFonts w:asciiTheme="majorHAnsi" w:hAnsiTheme="majorHAnsi" w:cstheme="majorHAnsi"/>
          <w:b/>
          <w:lang w:val="en-US"/>
        </w:rPr>
        <w:t>Primary Sources</w:t>
      </w:r>
    </w:p>
    <w:p w:rsidR="002B3F59" w:rsidRPr="0052129A" w:rsidRDefault="002B3F59" w:rsidP="0052129A">
      <w:pPr>
        <w:jc w:val="both"/>
        <w:rPr>
          <w:rFonts w:asciiTheme="majorHAnsi" w:hAnsiTheme="majorHAnsi" w:cstheme="majorHAnsi"/>
          <w:b/>
          <w:lang w:val="en-US"/>
        </w:rPr>
      </w:pPr>
    </w:p>
    <w:p w:rsidR="002B3F59" w:rsidRPr="0052129A" w:rsidRDefault="002B3F59" w:rsidP="0052129A">
      <w:pPr>
        <w:pStyle w:val="ListParagraph"/>
        <w:numPr>
          <w:ilvl w:val="0"/>
          <w:numId w:val="11"/>
        </w:numPr>
        <w:ind w:left="527" w:hanging="357"/>
        <w:jc w:val="both"/>
        <w:rPr>
          <w:rFonts w:asciiTheme="majorHAnsi" w:hAnsiTheme="majorHAnsi" w:cstheme="majorHAnsi"/>
          <w:b/>
          <w:lang w:val="en-US"/>
        </w:rPr>
      </w:pPr>
      <w:r w:rsidRPr="0052129A">
        <w:rPr>
          <w:rFonts w:asciiTheme="majorHAnsi" w:hAnsiTheme="majorHAnsi" w:cstheme="majorHAnsi"/>
          <w:b/>
          <w:lang w:val="en-US"/>
        </w:rPr>
        <w:t>Legislation</w:t>
      </w: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Charter of Fundamental Rights of the European Union [2012] OJ C 326.</w:t>
      </w: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sz w:val="24"/>
          <w:szCs w:val="24"/>
          <w:lang w:val="en-US"/>
        </w:rPr>
        <w:t xml:space="preserve">Consolidated Version of the Treaty on the Functioning of the European Union </w:t>
      </w:r>
      <w:r w:rsidRPr="0052129A">
        <w:rPr>
          <w:rFonts w:asciiTheme="majorHAnsi" w:hAnsiTheme="majorHAnsi" w:cstheme="majorHAnsi"/>
          <w:color w:val="000000" w:themeColor="text1"/>
          <w:sz w:val="24"/>
          <w:szCs w:val="24"/>
          <w:lang w:val="en-US"/>
        </w:rPr>
        <w:t>[2012] OJ C 326.</w:t>
      </w:r>
    </w:p>
    <w:p w:rsidR="00A81224" w:rsidRPr="0052129A" w:rsidRDefault="00A81224" w:rsidP="0052129A">
      <w:pPr>
        <w:pStyle w:val="FootnoteText"/>
        <w:jc w:val="both"/>
        <w:rPr>
          <w:rFonts w:asciiTheme="majorHAnsi" w:hAnsiTheme="majorHAnsi" w:cstheme="majorHAnsi"/>
          <w:color w:val="000000" w:themeColor="text1"/>
          <w:sz w:val="24"/>
          <w:szCs w:val="24"/>
          <w:lang w:val="en-US"/>
        </w:rPr>
      </w:pPr>
    </w:p>
    <w:p w:rsidR="00A81224" w:rsidRPr="0052129A" w:rsidRDefault="00A81224" w:rsidP="0052129A">
      <w:pPr>
        <w:pStyle w:val="FootnoteText"/>
        <w:jc w:val="both"/>
        <w:rPr>
          <w:rFonts w:asciiTheme="majorHAnsi" w:hAnsiTheme="majorHAnsi" w:cstheme="majorHAnsi"/>
          <w:color w:val="000000" w:themeColor="text1"/>
          <w:sz w:val="36"/>
          <w:szCs w:val="24"/>
          <w:lang w:val="en-US"/>
        </w:rPr>
      </w:pPr>
      <w:r w:rsidRPr="0052129A">
        <w:rPr>
          <w:rFonts w:asciiTheme="majorHAnsi" w:hAnsiTheme="majorHAnsi" w:cstheme="majorHAnsi"/>
          <w:sz w:val="24"/>
          <w:lang w:val="en-US"/>
        </w:rPr>
        <w:t xml:space="preserve">Council Regulation No 139/2004 of 20 January 2004 on the control of concentrations between undertakings </w:t>
      </w:r>
      <w:r w:rsidRPr="0052129A">
        <w:rPr>
          <w:rFonts w:asciiTheme="majorHAnsi" w:hAnsiTheme="majorHAnsi" w:cstheme="majorHAnsi"/>
          <w:color w:val="000000" w:themeColor="text1"/>
          <w:sz w:val="24"/>
          <w:lang w:val="en-US"/>
        </w:rPr>
        <w:t>[2004] OJ L 24.</w:t>
      </w: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shd w:val="clear" w:color="auto" w:fill="FFFFFF"/>
          <w:lang w:val="en-US"/>
        </w:rPr>
        <w:t xml:space="preserve">Directive 2010/13/EU of 10 March 2010 on the coordination of certain provisions laid down by law, regulation or administrative action in Member States concerning the provision of audiovisual media services (codified version) </w:t>
      </w:r>
      <w:r w:rsidRPr="0052129A">
        <w:rPr>
          <w:rFonts w:asciiTheme="majorHAnsi" w:hAnsiTheme="majorHAnsi" w:cstheme="majorHAnsi"/>
          <w:color w:val="000000" w:themeColor="text1"/>
          <w:sz w:val="24"/>
          <w:szCs w:val="24"/>
          <w:lang w:val="en-US"/>
        </w:rPr>
        <w:t>[2010] OJ L 95.</w:t>
      </w: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shd w:val="clear" w:color="auto" w:fill="FFFFFF"/>
          <w:lang w:val="en-US"/>
        </w:rPr>
        <w:t xml:space="preserve">Directive 2018/1808 of 14 November 2018 amending AMSD in view of changing market realities </w:t>
      </w:r>
      <w:r w:rsidRPr="0052129A">
        <w:rPr>
          <w:rFonts w:asciiTheme="majorHAnsi" w:hAnsiTheme="majorHAnsi" w:cstheme="majorHAnsi"/>
          <w:color w:val="000000" w:themeColor="text1"/>
          <w:sz w:val="24"/>
          <w:szCs w:val="24"/>
          <w:lang w:val="en-US"/>
        </w:rPr>
        <w:t>[2018] OJ L 303/69.</w:t>
      </w:r>
    </w:p>
    <w:p w:rsidR="0069562E" w:rsidRDefault="0069562E" w:rsidP="0052129A">
      <w:pPr>
        <w:pStyle w:val="FootnoteText"/>
        <w:jc w:val="both"/>
        <w:rPr>
          <w:rFonts w:asciiTheme="majorHAnsi" w:hAnsiTheme="majorHAnsi" w:cstheme="majorHAnsi"/>
          <w:color w:val="000000" w:themeColor="text1"/>
          <w:sz w:val="24"/>
          <w:szCs w:val="24"/>
          <w:lang w:val="en-US"/>
        </w:rPr>
      </w:pPr>
    </w:p>
    <w:p w:rsidR="00E5042D" w:rsidRPr="00E5042D" w:rsidRDefault="00E5042D" w:rsidP="0052129A">
      <w:pPr>
        <w:pStyle w:val="FootnoteText"/>
        <w:jc w:val="both"/>
        <w:rPr>
          <w:sz w:val="24"/>
          <w:szCs w:val="24"/>
          <w:lang w:val="en-US"/>
        </w:rPr>
      </w:pPr>
      <w:r w:rsidRPr="00E5042D">
        <w:rPr>
          <w:sz w:val="24"/>
          <w:szCs w:val="24"/>
          <w:lang w:val="en-US"/>
        </w:rPr>
        <w:t>The Competition Act 2002 of Ireland.</w:t>
      </w:r>
    </w:p>
    <w:p w:rsidR="00E5042D" w:rsidRPr="0052129A" w:rsidRDefault="00E5042D" w:rsidP="0052129A">
      <w:pPr>
        <w:pStyle w:val="FootnoteText"/>
        <w:jc w:val="both"/>
        <w:rPr>
          <w:rFonts w:asciiTheme="majorHAnsi" w:hAnsiTheme="majorHAnsi" w:cstheme="majorHAnsi"/>
          <w:color w:val="000000" w:themeColor="text1"/>
          <w:sz w:val="24"/>
          <w:szCs w:val="24"/>
          <w:lang w:val="en-US"/>
        </w:rPr>
      </w:pP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Treaty of Lisbon amending the Treaty on European Union and the Treaty Establishing the European Community [2007] OJ C 306.</w:t>
      </w:r>
    </w:p>
    <w:p w:rsidR="0069562E" w:rsidRPr="0052129A" w:rsidRDefault="0069562E" w:rsidP="0052129A">
      <w:pPr>
        <w:pStyle w:val="FootnoteText"/>
        <w:jc w:val="both"/>
        <w:rPr>
          <w:rFonts w:asciiTheme="majorHAnsi" w:hAnsiTheme="majorHAnsi" w:cstheme="majorHAnsi"/>
          <w:color w:val="000000" w:themeColor="text1"/>
          <w:sz w:val="24"/>
          <w:szCs w:val="24"/>
          <w:lang w:val="en-US"/>
        </w:rPr>
      </w:pPr>
    </w:p>
    <w:p w:rsidR="002B3F59" w:rsidRPr="0052129A" w:rsidRDefault="002B3F59" w:rsidP="0052129A">
      <w:pPr>
        <w:pStyle w:val="ListParagraph"/>
        <w:numPr>
          <w:ilvl w:val="0"/>
          <w:numId w:val="11"/>
        </w:numPr>
        <w:ind w:left="584" w:hanging="357"/>
        <w:jc w:val="both"/>
        <w:rPr>
          <w:rFonts w:asciiTheme="majorHAnsi" w:hAnsiTheme="majorHAnsi" w:cstheme="majorHAnsi"/>
          <w:b/>
          <w:lang w:val="en-US"/>
        </w:rPr>
      </w:pPr>
      <w:r w:rsidRPr="0052129A">
        <w:rPr>
          <w:rFonts w:asciiTheme="majorHAnsi" w:hAnsiTheme="majorHAnsi" w:cstheme="majorHAnsi"/>
          <w:b/>
          <w:lang w:val="en-US"/>
        </w:rPr>
        <w:t>Case Law</w:t>
      </w:r>
    </w:p>
    <w:p w:rsidR="002B3F59" w:rsidRPr="0052129A" w:rsidRDefault="002B3F59" w:rsidP="0052129A">
      <w:pPr>
        <w:jc w:val="both"/>
        <w:rPr>
          <w:rFonts w:asciiTheme="majorHAnsi" w:hAnsiTheme="majorHAnsi" w:cstheme="majorHAnsi"/>
          <w:b/>
          <w:lang w:val="en-US"/>
        </w:rPr>
      </w:pPr>
    </w:p>
    <w:p w:rsidR="0037189B" w:rsidRPr="0052129A" w:rsidRDefault="0037189B" w:rsidP="0052129A">
      <w:pPr>
        <w:jc w:val="both"/>
        <w:rPr>
          <w:rFonts w:asciiTheme="majorHAnsi" w:hAnsiTheme="majorHAnsi" w:cstheme="majorHAnsi"/>
        </w:rPr>
      </w:pPr>
      <w:r w:rsidRPr="0052129A">
        <w:rPr>
          <w:rFonts w:asciiTheme="majorHAnsi" w:hAnsiTheme="majorHAnsi" w:cstheme="majorHAnsi"/>
          <w:lang w:val="en-US"/>
        </w:rPr>
        <w:t>Commission of the European Communities, ‘Case No IV/M.423 – Newspaper Publishing’ (14 March 1994).</w:t>
      </w:r>
    </w:p>
    <w:p w:rsidR="0037189B" w:rsidRPr="0052129A" w:rsidRDefault="0037189B" w:rsidP="0052129A">
      <w:pPr>
        <w:jc w:val="both"/>
        <w:rPr>
          <w:rFonts w:asciiTheme="majorHAnsi" w:hAnsiTheme="majorHAnsi" w:cstheme="majorHAnsi"/>
          <w:b/>
          <w:lang w:val="en-US"/>
        </w:rPr>
      </w:pPr>
    </w:p>
    <w:p w:rsidR="00AB2C9B" w:rsidRPr="0052129A" w:rsidRDefault="00AB2C9B" w:rsidP="0052129A">
      <w:pPr>
        <w:pStyle w:val="FootnoteText"/>
        <w:jc w:val="both"/>
        <w:rPr>
          <w:rFonts w:asciiTheme="majorHAnsi" w:hAnsiTheme="majorHAnsi" w:cstheme="majorHAnsi"/>
          <w:sz w:val="24"/>
          <w:szCs w:val="24"/>
          <w:lang w:val="en-US"/>
        </w:rPr>
      </w:pPr>
      <w:r w:rsidRPr="0052129A">
        <w:rPr>
          <w:rFonts w:asciiTheme="majorHAnsi" w:hAnsiTheme="majorHAnsi" w:cstheme="majorHAnsi"/>
          <w:sz w:val="24"/>
          <w:szCs w:val="24"/>
          <w:lang w:val="en-US"/>
        </w:rPr>
        <w:t>The European Commission, ‘Commission Decision of 22/III/2006 – Joint selling of the media rights to the FA Premier League’ C (2016) 868 final.</w:t>
      </w:r>
    </w:p>
    <w:p w:rsidR="002B3F59" w:rsidRPr="0052129A" w:rsidRDefault="002B3F59" w:rsidP="0052129A">
      <w:pPr>
        <w:jc w:val="both"/>
        <w:rPr>
          <w:rFonts w:asciiTheme="majorHAnsi" w:hAnsiTheme="majorHAnsi" w:cstheme="majorHAnsi"/>
          <w:b/>
          <w:lang w:val="en-US"/>
        </w:rPr>
      </w:pPr>
    </w:p>
    <w:p w:rsidR="002B3F59" w:rsidRPr="0052129A" w:rsidRDefault="002B3F59" w:rsidP="0052129A">
      <w:pPr>
        <w:jc w:val="both"/>
        <w:rPr>
          <w:rFonts w:asciiTheme="majorHAnsi" w:hAnsiTheme="majorHAnsi" w:cstheme="majorHAnsi"/>
          <w:b/>
          <w:lang w:val="en-US"/>
        </w:rPr>
      </w:pPr>
      <w:r w:rsidRPr="0052129A">
        <w:rPr>
          <w:rFonts w:asciiTheme="majorHAnsi" w:hAnsiTheme="majorHAnsi" w:cstheme="majorHAnsi"/>
          <w:b/>
          <w:lang w:val="en-US"/>
        </w:rPr>
        <w:t>Secondary Sources</w:t>
      </w:r>
    </w:p>
    <w:p w:rsidR="002B3F59" w:rsidRPr="0052129A" w:rsidRDefault="002B3F59" w:rsidP="0052129A">
      <w:pPr>
        <w:jc w:val="both"/>
        <w:rPr>
          <w:rFonts w:asciiTheme="majorHAnsi" w:hAnsiTheme="majorHAnsi" w:cstheme="majorHAnsi"/>
          <w:color w:val="000000" w:themeColor="text1"/>
          <w:lang w:val="en-US"/>
        </w:rPr>
      </w:pPr>
    </w:p>
    <w:p w:rsidR="002B3F59" w:rsidRPr="0052129A" w:rsidRDefault="002B3F59" w:rsidP="0052129A">
      <w:pPr>
        <w:pStyle w:val="ListParagraph"/>
        <w:numPr>
          <w:ilvl w:val="0"/>
          <w:numId w:val="12"/>
        </w:numPr>
        <w:ind w:left="567" w:hanging="567"/>
        <w:jc w:val="both"/>
        <w:rPr>
          <w:rFonts w:asciiTheme="majorHAnsi" w:hAnsiTheme="majorHAnsi" w:cstheme="majorHAnsi"/>
          <w:b/>
          <w:lang w:val="en-US"/>
        </w:rPr>
      </w:pPr>
      <w:r w:rsidRPr="0052129A">
        <w:rPr>
          <w:rFonts w:asciiTheme="majorHAnsi" w:hAnsiTheme="majorHAnsi" w:cstheme="majorHAnsi"/>
          <w:b/>
          <w:lang w:val="en-US"/>
        </w:rPr>
        <w:t>Books</w:t>
      </w:r>
    </w:p>
    <w:p w:rsidR="002B3F59" w:rsidRPr="0052129A" w:rsidRDefault="002B3F59" w:rsidP="0052129A">
      <w:pPr>
        <w:jc w:val="both"/>
        <w:rPr>
          <w:rFonts w:asciiTheme="majorHAnsi" w:hAnsiTheme="majorHAnsi" w:cstheme="majorHAnsi"/>
          <w:color w:val="000000" w:themeColor="text1"/>
          <w:lang w:val="en-US"/>
        </w:rPr>
      </w:pPr>
    </w:p>
    <w:p w:rsidR="0069562E" w:rsidRPr="0052129A" w:rsidRDefault="0069562E"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 xml:space="preserve">Arendt H, </w:t>
      </w:r>
      <w:r w:rsidRPr="0052129A">
        <w:rPr>
          <w:rFonts w:asciiTheme="majorHAnsi" w:hAnsiTheme="majorHAnsi" w:cstheme="majorHAnsi"/>
          <w:i/>
          <w:color w:val="000000" w:themeColor="text1"/>
          <w:lang w:val="en-US"/>
        </w:rPr>
        <w:t xml:space="preserve">Thinking Without a Banister </w:t>
      </w:r>
      <w:r w:rsidRPr="0052129A">
        <w:rPr>
          <w:rFonts w:asciiTheme="majorHAnsi" w:hAnsiTheme="majorHAnsi" w:cstheme="majorHAnsi"/>
          <w:color w:val="000000" w:themeColor="text1"/>
          <w:lang w:val="en-US"/>
        </w:rPr>
        <w:t>(Edited by Jerome Kohn, Schocken Books 2018).</w:t>
      </w:r>
    </w:p>
    <w:p w:rsidR="0069562E" w:rsidRPr="0052129A" w:rsidRDefault="0069562E" w:rsidP="0052129A">
      <w:pPr>
        <w:jc w:val="both"/>
        <w:rPr>
          <w:rFonts w:asciiTheme="majorHAnsi" w:hAnsiTheme="majorHAnsi" w:cstheme="majorHAnsi"/>
          <w:color w:val="000000" w:themeColor="text1"/>
          <w:lang w:val="en-US"/>
        </w:rPr>
      </w:pPr>
    </w:p>
    <w:p w:rsidR="0069562E" w:rsidRPr="0052129A" w:rsidRDefault="0069562E"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 xml:space="preserve">Harcourt A, ‘Media Plurality: What Can the EU Do?’ in Steven Barnett and Judith Townend (eds.), </w:t>
      </w:r>
      <w:r w:rsidRPr="0052129A">
        <w:rPr>
          <w:rFonts w:asciiTheme="majorHAnsi" w:hAnsiTheme="majorHAnsi" w:cstheme="majorHAnsi"/>
          <w:i/>
          <w:color w:val="000000" w:themeColor="text1"/>
          <w:lang w:val="en-US"/>
        </w:rPr>
        <w:t>Media Power and Plurality</w:t>
      </w:r>
      <w:r w:rsidRPr="0052129A">
        <w:rPr>
          <w:rFonts w:asciiTheme="majorHAnsi" w:hAnsiTheme="majorHAnsi" w:cstheme="majorHAnsi"/>
          <w:color w:val="000000" w:themeColor="text1"/>
          <w:lang w:val="en-US"/>
        </w:rPr>
        <w:t xml:space="preserve"> (PGMPB 2015).</w:t>
      </w:r>
    </w:p>
    <w:p w:rsidR="0069562E" w:rsidRPr="0052129A" w:rsidRDefault="0069562E" w:rsidP="0052129A">
      <w:pPr>
        <w:jc w:val="both"/>
        <w:rPr>
          <w:rFonts w:asciiTheme="majorHAnsi" w:hAnsiTheme="majorHAnsi" w:cstheme="majorHAnsi"/>
          <w:color w:val="000000" w:themeColor="text1"/>
          <w:lang w:val="en-US"/>
        </w:rPr>
      </w:pPr>
    </w:p>
    <w:p w:rsidR="0069562E" w:rsidRPr="0052129A" w:rsidRDefault="0069562E"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 xml:space="preserve">Komorek E, </w:t>
      </w:r>
      <w:r w:rsidRPr="0052129A">
        <w:rPr>
          <w:rFonts w:asciiTheme="majorHAnsi" w:hAnsiTheme="majorHAnsi" w:cstheme="majorHAnsi"/>
          <w:i/>
          <w:color w:val="000000" w:themeColor="text1"/>
          <w:lang w:val="en-US"/>
        </w:rPr>
        <w:t>Media Pluralism and European Law</w:t>
      </w:r>
      <w:r w:rsidRPr="0052129A">
        <w:rPr>
          <w:rFonts w:asciiTheme="majorHAnsi" w:hAnsiTheme="majorHAnsi" w:cstheme="majorHAnsi"/>
          <w:color w:val="000000" w:themeColor="text1"/>
          <w:lang w:val="en-US"/>
        </w:rPr>
        <w:t xml:space="preserve"> (Kluwer Law International 2013).</w:t>
      </w:r>
    </w:p>
    <w:p w:rsidR="001565EB" w:rsidRPr="0052129A" w:rsidRDefault="001565EB" w:rsidP="0052129A">
      <w:pPr>
        <w:jc w:val="both"/>
        <w:rPr>
          <w:rFonts w:asciiTheme="majorHAnsi" w:hAnsiTheme="majorHAnsi" w:cstheme="majorHAnsi"/>
          <w:color w:val="000000" w:themeColor="text1"/>
          <w:lang w:val="en-US"/>
        </w:rPr>
      </w:pPr>
    </w:p>
    <w:p w:rsidR="001565EB" w:rsidRPr="0052129A" w:rsidRDefault="001565EB"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 xml:space="preserve">Milne M, </w:t>
      </w:r>
      <w:r w:rsidRPr="0052129A">
        <w:rPr>
          <w:rFonts w:asciiTheme="majorHAnsi" w:hAnsiTheme="majorHAnsi" w:cstheme="majorHAnsi"/>
          <w:i/>
          <w:color w:val="000000" w:themeColor="text1"/>
          <w:lang w:val="en-US"/>
        </w:rPr>
        <w:t xml:space="preserve">The Transformation of Television Sport: New Methods, New Rules </w:t>
      </w:r>
      <w:r w:rsidRPr="0052129A">
        <w:rPr>
          <w:rFonts w:asciiTheme="majorHAnsi" w:hAnsiTheme="majorHAnsi" w:cstheme="majorHAnsi"/>
          <w:color w:val="000000" w:themeColor="text1"/>
          <w:lang w:val="en-US"/>
        </w:rPr>
        <w:t>(Palgrave Macmillan 2016).</w:t>
      </w:r>
    </w:p>
    <w:p w:rsidR="0069562E" w:rsidRPr="0052129A" w:rsidRDefault="0069562E" w:rsidP="0052129A">
      <w:pPr>
        <w:jc w:val="both"/>
        <w:rPr>
          <w:rFonts w:asciiTheme="majorHAnsi" w:hAnsiTheme="majorHAnsi" w:cstheme="majorHAnsi"/>
          <w:color w:val="000000" w:themeColor="text1"/>
          <w:lang w:val="en-US"/>
        </w:rPr>
      </w:pPr>
    </w:p>
    <w:p w:rsidR="0069562E" w:rsidRPr="0052129A" w:rsidRDefault="0069562E"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 xml:space="preserve">Oster J, </w:t>
      </w:r>
      <w:r w:rsidRPr="0052129A">
        <w:rPr>
          <w:rFonts w:asciiTheme="majorHAnsi" w:hAnsiTheme="majorHAnsi" w:cstheme="majorHAnsi"/>
          <w:i/>
          <w:color w:val="000000" w:themeColor="text1"/>
          <w:lang w:val="en-US"/>
        </w:rPr>
        <w:t xml:space="preserve">European and International Media Law </w:t>
      </w:r>
      <w:r w:rsidRPr="0052129A">
        <w:rPr>
          <w:rFonts w:asciiTheme="majorHAnsi" w:hAnsiTheme="majorHAnsi" w:cstheme="majorHAnsi"/>
          <w:color w:val="000000" w:themeColor="text1"/>
          <w:lang w:val="en-US"/>
        </w:rPr>
        <w:t>(Cambridge University Press 2016).</w:t>
      </w:r>
    </w:p>
    <w:p w:rsidR="0069562E" w:rsidRPr="0052129A" w:rsidRDefault="0069562E" w:rsidP="0052129A">
      <w:pPr>
        <w:jc w:val="both"/>
        <w:rPr>
          <w:rFonts w:asciiTheme="majorHAnsi" w:hAnsiTheme="majorHAnsi" w:cstheme="majorHAnsi"/>
          <w:color w:val="000000" w:themeColor="text1"/>
          <w:lang w:val="en-US"/>
        </w:rPr>
      </w:pPr>
    </w:p>
    <w:p w:rsidR="0069562E" w:rsidRPr="0052129A" w:rsidRDefault="0069562E" w:rsidP="0052129A">
      <w:pPr>
        <w:pStyle w:val="ListParagraph"/>
        <w:numPr>
          <w:ilvl w:val="0"/>
          <w:numId w:val="15"/>
        </w:numPr>
        <w:jc w:val="both"/>
        <w:rPr>
          <w:rFonts w:asciiTheme="majorHAnsi" w:hAnsiTheme="majorHAnsi" w:cstheme="majorHAnsi"/>
          <w:color w:val="000000" w:themeColor="text1"/>
          <w:lang w:val="en-US"/>
        </w:rPr>
      </w:pPr>
      <w:r w:rsidRPr="0052129A">
        <w:rPr>
          <w:rFonts w:asciiTheme="majorHAnsi" w:hAnsiTheme="majorHAnsi" w:cstheme="majorHAnsi"/>
          <w:i/>
          <w:color w:val="000000" w:themeColor="text1"/>
          <w:lang w:val="en-US"/>
        </w:rPr>
        <w:lastRenderedPageBreak/>
        <w:t xml:space="preserve">Media Freedom as a Fundamental Right </w:t>
      </w:r>
      <w:r w:rsidRPr="0052129A">
        <w:rPr>
          <w:rFonts w:asciiTheme="majorHAnsi" w:hAnsiTheme="majorHAnsi" w:cstheme="majorHAnsi"/>
          <w:color w:val="000000" w:themeColor="text1"/>
          <w:lang w:val="en-US"/>
        </w:rPr>
        <w:t>(Cambridge University Press 2015).</w:t>
      </w:r>
    </w:p>
    <w:p w:rsidR="0069562E" w:rsidRPr="0052129A" w:rsidRDefault="0069562E" w:rsidP="0052129A">
      <w:pPr>
        <w:jc w:val="both"/>
        <w:rPr>
          <w:rFonts w:asciiTheme="majorHAnsi" w:hAnsiTheme="majorHAnsi" w:cstheme="majorHAnsi"/>
          <w:color w:val="000000" w:themeColor="text1"/>
          <w:lang w:val="en-US"/>
        </w:rPr>
      </w:pPr>
    </w:p>
    <w:p w:rsidR="0069562E" w:rsidRPr="0052129A" w:rsidRDefault="0069562E"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 xml:space="preserve">Splichal S, </w:t>
      </w:r>
      <w:r w:rsidRPr="0052129A">
        <w:rPr>
          <w:rFonts w:asciiTheme="majorHAnsi" w:hAnsiTheme="majorHAnsi" w:cstheme="majorHAnsi"/>
          <w:i/>
          <w:color w:val="000000" w:themeColor="text1"/>
          <w:lang w:val="en-US"/>
        </w:rPr>
        <w:t>Principles of Publicity and Press Freedom</w:t>
      </w:r>
      <w:r w:rsidRPr="0052129A">
        <w:rPr>
          <w:rFonts w:asciiTheme="majorHAnsi" w:hAnsiTheme="majorHAnsi" w:cstheme="majorHAnsi"/>
          <w:color w:val="000000" w:themeColor="text1"/>
          <w:lang w:val="en-US"/>
        </w:rPr>
        <w:t xml:space="preserve"> (Rowman &amp; Littlefield Publishers 2002).</w:t>
      </w:r>
    </w:p>
    <w:p w:rsidR="00C72577" w:rsidRPr="0052129A" w:rsidRDefault="00C72577" w:rsidP="0052129A">
      <w:pPr>
        <w:jc w:val="both"/>
        <w:rPr>
          <w:rFonts w:asciiTheme="majorHAnsi" w:hAnsiTheme="majorHAnsi" w:cstheme="majorHAnsi"/>
          <w:color w:val="000000" w:themeColor="text1"/>
          <w:lang w:val="en-US"/>
        </w:rPr>
      </w:pPr>
    </w:p>
    <w:p w:rsidR="00C72577" w:rsidRPr="0052129A" w:rsidRDefault="00C72577" w:rsidP="0052129A">
      <w:pPr>
        <w:jc w:val="both"/>
        <w:rPr>
          <w:rFonts w:asciiTheme="majorHAnsi" w:hAnsiTheme="majorHAnsi" w:cstheme="majorHAnsi"/>
          <w:color w:val="000000" w:themeColor="text1"/>
          <w:lang w:val="en-US"/>
        </w:rPr>
      </w:pPr>
      <w:r w:rsidRPr="0052129A">
        <w:rPr>
          <w:rFonts w:asciiTheme="majorHAnsi" w:hAnsiTheme="majorHAnsi" w:cstheme="majorHAnsi"/>
          <w:lang w:val="en-US"/>
        </w:rPr>
        <w:t>Sustainable Governance Indicators</w:t>
      </w:r>
      <w:r w:rsidR="00651FBA" w:rsidRPr="0052129A">
        <w:rPr>
          <w:rFonts w:asciiTheme="majorHAnsi" w:hAnsiTheme="majorHAnsi" w:cstheme="majorHAnsi"/>
          <w:lang w:val="en-US"/>
        </w:rPr>
        <w:t xml:space="preserve"> (SGI)</w:t>
      </w:r>
      <w:r w:rsidRPr="0052129A">
        <w:rPr>
          <w:rFonts w:asciiTheme="majorHAnsi" w:hAnsiTheme="majorHAnsi" w:cstheme="majorHAnsi"/>
          <w:lang w:val="en-US"/>
        </w:rPr>
        <w:t xml:space="preserve">, </w:t>
      </w:r>
      <w:r w:rsidRPr="0052129A">
        <w:rPr>
          <w:rFonts w:asciiTheme="majorHAnsi" w:hAnsiTheme="majorHAnsi" w:cstheme="majorHAnsi"/>
          <w:i/>
          <w:lang w:val="en-US"/>
        </w:rPr>
        <w:t>Access to Information Report Media Freedom, Media Pluralism, Access to Government Information</w:t>
      </w:r>
      <w:r w:rsidRPr="0052129A">
        <w:rPr>
          <w:rFonts w:asciiTheme="majorHAnsi" w:hAnsiTheme="majorHAnsi" w:cstheme="majorHAnsi"/>
          <w:lang w:val="en-US"/>
        </w:rPr>
        <w:t xml:space="preserve"> </w:t>
      </w:r>
      <w:r w:rsidRPr="0052129A">
        <w:rPr>
          <w:rFonts w:asciiTheme="majorHAnsi" w:hAnsiTheme="majorHAnsi" w:cstheme="majorHAnsi"/>
          <w:color w:val="000000" w:themeColor="text1"/>
          <w:lang w:val="en-US"/>
        </w:rPr>
        <w:t>[2019].</w:t>
      </w:r>
    </w:p>
    <w:p w:rsidR="0069562E" w:rsidRPr="0052129A" w:rsidRDefault="0069562E" w:rsidP="0052129A">
      <w:pPr>
        <w:jc w:val="both"/>
        <w:rPr>
          <w:rFonts w:asciiTheme="majorHAnsi" w:hAnsiTheme="majorHAnsi" w:cstheme="majorHAnsi"/>
          <w:color w:val="000000" w:themeColor="text1"/>
          <w:lang w:val="en-US"/>
        </w:rPr>
      </w:pPr>
    </w:p>
    <w:p w:rsidR="00D12399" w:rsidRPr="0052129A" w:rsidRDefault="002B3F59" w:rsidP="0052129A">
      <w:pPr>
        <w:pStyle w:val="ListParagraph"/>
        <w:numPr>
          <w:ilvl w:val="0"/>
          <w:numId w:val="12"/>
        </w:numPr>
        <w:ind w:left="567" w:hanging="567"/>
        <w:jc w:val="both"/>
        <w:rPr>
          <w:rFonts w:asciiTheme="majorHAnsi" w:hAnsiTheme="majorHAnsi" w:cstheme="majorHAnsi"/>
          <w:b/>
          <w:lang w:val="en-US"/>
        </w:rPr>
      </w:pPr>
      <w:r w:rsidRPr="0052129A">
        <w:rPr>
          <w:rFonts w:asciiTheme="majorHAnsi" w:hAnsiTheme="majorHAnsi" w:cstheme="majorHAnsi"/>
          <w:b/>
          <w:lang w:val="en-US"/>
        </w:rPr>
        <w:t>Journal Articles</w:t>
      </w:r>
      <w:r w:rsidR="00FE156B" w:rsidRPr="0052129A">
        <w:rPr>
          <w:rFonts w:asciiTheme="majorHAnsi" w:hAnsiTheme="majorHAnsi" w:cstheme="majorHAnsi"/>
          <w:b/>
          <w:lang w:val="en-US"/>
        </w:rPr>
        <w:t>, Legislative Reports</w:t>
      </w:r>
      <w:r w:rsidRPr="0052129A">
        <w:rPr>
          <w:rFonts w:asciiTheme="majorHAnsi" w:hAnsiTheme="majorHAnsi" w:cstheme="majorHAnsi"/>
          <w:b/>
          <w:lang w:val="en-US"/>
        </w:rPr>
        <w:t xml:space="preserve"> and Working Papers</w:t>
      </w:r>
    </w:p>
    <w:p w:rsidR="00AE1F6A" w:rsidRPr="0052129A" w:rsidRDefault="00AE1F6A" w:rsidP="0052129A">
      <w:pPr>
        <w:pStyle w:val="FootnoteText"/>
        <w:ind w:left="720"/>
        <w:jc w:val="both"/>
        <w:rPr>
          <w:rFonts w:asciiTheme="majorHAnsi" w:hAnsiTheme="majorHAnsi" w:cstheme="majorHAnsi"/>
          <w:sz w:val="24"/>
          <w:szCs w:val="24"/>
          <w:lang w:val="en-US"/>
        </w:rPr>
      </w:pPr>
    </w:p>
    <w:p w:rsidR="00D12399" w:rsidRPr="0052129A" w:rsidRDefault="00D12399"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sz w:val="24"/>
          <w:szCs w:val="24"/>
          <w:lang w:val="en-US"/>
        </w:rPr>
        <w:t>High-Level Group on Media Freedom and Pluralism</w:t>
      </w:r>
      <w:r w:rsidRPr="0052129A">
        <w:rPr>
          <w:rFonts w:asciiTheme="majorHAnsi" w:hAnsiTheme="majorHAnsi" w:cstheme="majorHAnsi"/>
          <w:color w:val="000000" w:themeColor="text1"/>
          <w:sz w:val="24"/>
          <w:szCs w:val="24"/>
          <w:lang w:val="en-US"/>
        </w:rPr>
        <w:t>, ‘A Free and Pluralistic Media to Sustain European Democracy’ [2013].</w:t>
      </w:r>
    </w:p>
    <w:p w:rsidR="00AE1F6A" w:rsidRPr="0052129A" w:rsidRDefault="00AE1F6A"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pStyle w:val="FootnoteText"/>
        <w:jc w:val="both"/>
        <w:rPr>
          <w:rFonts w:asciiTheme="majorHAnsi" w:hAnsiTheme="majorHAnsi" w:cstheme="majorHAnsi"/>
          <w:sz w:val="24"/>
          <w:szCs w:val="24"/>
          <w:lang w:val="en-US"/>
        </w:rPr>
      </w:pPr>
      <w:r w:rsidRPr="0052129A">
        <w:rPr>
          <w:rFonts w:asciiTheme="majorHAnsi" w:hAnsiTheme="majorHAnsi" w:cstheme="majorHAnsi"/>
          <w:sz w:val="24"/>
          <w:szCs w:val="24"/>
          <w:lang w:val="en-US"/>
        </w:rPr>
        <w:t>Joesaar A, ‘One Country, Two Polarised Audiences: Estonia and the Deficiency of the AVMSD’ 3(4) MC.</w:t>
      </w:r>
    </w:p>
    <w:p w:rsidR="00AE1F6A" w:rsidRPr="0052129A" w:rsidRDefault="00AE1F6A" w:rsidP="0052129A">
      <w:pPr>
        <w:pStyle w:val="FootnoteText"/>
        <w:jc w:val="both"/>
        <w:rPr>
          <w:rFonts w:asciiTheme="majorHAnsi" w:hAnsiTheme="majorHAnsi" w:cstheme="majorHAnsi"/>
          <w:sz w:val="24"/>
          <w:szCs w:val="24"/>
        </w:rPr>
      </w:pPr>
    </w:p>
    <w:p w:rsidR="00D12399" w:rsidRPr="0052129A" w:rsidRDefault="00D12399"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Joint Civil Society Organisation (JCSO), ‘From blueprint to footprint: Safeguarding media freedom and pluralism through the European Rule of Law Mechanism’ (April 2020) &lt;</w:t>
      </w:r>
      <w:hyperlink r:id="rId8" w:history="1">
        <w:r w:rsidRPr="0052129A">
          <w:rPr>
            <w:rFonts w:asciiTheme="majorHAnsi" w:hAnsiTheme="majorHAnsi" w:cstheme="majorHAnsi"/>
            <w:color w:val="000000" w:themeColor="text1"/>
            <w:u w:val="single"/>
            <w:lang w:val="en-US"/>
          </w:rPr>
          <w:t>www.article19.org/wp-content/uploads/2020/04/Rule-of-Law-Joint-Recommendations-April-2020-1.pdf</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29 April 2020.</w:t>
      </w:r>
    </w:p>
    <w:p w:rsidR="00AE1F6A" w:rsidRPr="0052129A" w:rsidRDefault="00AE1F6A" w:rsidP="0052129A">
      <w:pPr>
        <w:jc w:val="both"/>
        <w:rPr>
          <w:rFonts w:asciiTheme="majorHAnsi" w:hAnsiTheme="majorHAnsi" w:cstheme="majorHAnsi"/>
          <w:lang w:val="en-US"/>
        </w:rPr>
      </w:pPr>
    </w:p>
    <w:p w:rsidR="00D12399" w:rsidRPr="0052129A" w:rsidRDefault="00D12399"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sz w:val="24"/>
          <w:szCs w:val="24"/>
          <w:lang w:val="en-US"/>
        </w:rPr>
        <w:t xml:space="preserve">Kokoly Z, </w:t>
      </w:r>
      <w:r w:rsidRPr="0052129A">
        <w:rPr>
          <w:rFonts w:asciiTheme="majorHAnsi" w:hAnsiTheme="majorHAnsi" w:cstheme="majorHAnsi"/>
          <w:color w:val="000000" w:themeColor="text1"/>
          <w:sz w:val="24"/>
          <w:szCs w:val="24"/>
          <w:lang w:val="en-US"/>
        </w:rPr>
        <w:t>‘The Anti-Circumvention Procedure in the Audiovisual Media Services Directive’ [2019] 8(1) Acta Univ. Sapientiae LS.</w:t>
      </w:r>
    </w:p>
    <w:p w:rsidR="00AE1F6A" w:rsidRPr="0052129A" w:rsidRDefault="00AE1F6A"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Llorens C and Costache A M, ‘European Union Media Policy and Independent Regulatory Authorities: A New Tool to Protect European Media Pluralism?’ [2014] 4 JIP.</w:t>
      </w:r>
    </w:p>
    <w:p w:rsidR="00AE1F6A" w:rsidRPr="0052129A" w:rsidRDefault="00AE1F6A" w:rsidP="0052129A">
      <w:pPr>
        <w:jc w:val="both"/>
        <w:rPr>
          <w:rFonts w:asciiTheme="majorHAnsi" w:hAnsiTheme="majorHAnsi" w:cstheme="majorHAnsi"/>
          <w:color w:val="000000" w:themeColor="text1"/>
          <w:lang w:val="en-US"/>
        </w:rPr>
      </w:pPr>
    </w:p>
    <w:p w:rsidR="00D12399" w:rsidRPr="0052129A" w:rsidRDefault="00D12399"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sz w:val="24"/>
          <w:szCs w:val="24"/>
          <w:lang w:val="en-US"/>
        </w:rPr>
        <w:t xml:space="preserve">Mellkauls A, ‘The </w:t>
      </w:r>
      <w:r w:rsidRPr="0052129A">
        <w:rPr>
          <w:rFonts w:asciiTheme="majorHAnsi" w:hAnsiTheme="majorHAnsi" w:cstheme="majorHAnsi"/>
          <w:color w:val="000000" w:themeColor="text1"/>
          <w:sz w:val="24"/>
          <w:szCs w:val="24"/>
          <w:lang w:val="en-US"/>
        </w:rPr>
        <w:t xml:space="preserve">Audiovisual Media Services Directive </w:t>
      </w:r>
      <w:r w:rsidRPr="0052129A">
        <w:rPr>
          <w:rFonts w:asciiTheme="majorHAnsi" w:hAnsiTheme="majorHAnsi" w:cstheme="majorHAnsi"/>
          <w:sz w:val="24"/>
          <w:szCs w:val="24"/>
          <w:lang w:val="en-US"/>
        </w:rPr>
        <w:t xml:space="preserve">and Propaganda’ </w:t>
      </w:r>
      <w:r w:rsidRPr="0052129A">
        <w:rPr>
          <w:rFonts w:asciiTheme="majorHAnsi" w:hAnsiTheme="majorHAnsi" w:cstheme="majorHAnsi"/>
          <w:color w:val="000000" w:themeColor="text1"/>
          <w:sz w:val="24"/>
          <w:szCs w:val="24"/>
          <w:lang w:val="en-US"/>
        </w:rPr>
        <w:t>[2016].</w:t>
      </w:r>
    </w:p>
    <w:p w:rsidR="00AE1F6A" w:rsidRPr="0052129A" w:rsidRDefault="00AE1F6A"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Padovani C, ‘Berlusconi’s Italy: the media between structure and agency’ [2015] 20(1) MI.</w:t>
      </w:r>
    </w:p>
    <w:p w:rsidR="002150A8" w:rsidRPr="0052129A" w:rsidRDefault="002150A8" w:rsidP="0052129A">
      <w:pPr>
        <w:jc w:val="both"/>
        <w:rPr>
          <w:rFonts w:asciiTheme="majorHAnsi" w:hAnsiTheme="majorHAnsi" w:cstheme="majorHAnsi"/>
          <w:color w:val="000000" w:themeColor="text1"/>
          <w:lang w:val="en-US"/>
        </w:rPr>
      </w:pPr>
    </w:p>
    <w:p w:rsidR="00D12399" w:rsidRPr="0052129A" w:rsidRDefault="00D12399"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Pires A G, ‘Media Pluralism and Competition’ [2017] 43 EJLE.</w:t>
      </w:r>
    </w:p>
    <w:p w:rsidR="00AE1F6A" w:rsidRPr="0052129A" w:rsidRDefault="00AE1F6A" w:rsidP="0052129A">
      <w:pPr>
        <w:jc w:val="both"/>
        <w:rPr>
          <w:rFonts w:asciiTheme="majorHAnsi" w:hAnsiTheme="majorHAnsi" w:cstheme="majorHAnsi"/>
          <w:color w:val="000000" w:themeColor="text1"/>
          <w:lang w:val="en-US"/>
        </w:rPr>
      </w:pPr>
    </w:p>
    <w:p w:rsidR="00D12399" w:rsidRPr="0052129A" w:rsidRDefault="00D12399"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Raeijmaekers D and Maeseele P, ‘Media, Pluralism and Democracy: What’s in a name?’ [2015] 37(7) MCS.</w:t>
      </w:r>
    </w:p>
    <w:p w:rsidR="00AE1F6A" w:rsidRPr="0052129A" w:rsidRDefault="00AE1F6A" w:rsidP="0052129A">
      <w:pPr>
        <w:jc w:val="both"/>
        <w:rPr>
          <w:rFonts w:asciiTheme="majorHAnsi" w:hAnsiTheme="majorHAnsi" w:cstheme="majorHAnsi"/>
          <w:color w:val="000000" w:themeColor="text1"/>
          <w:lang w:val="en-US"/>
        </w:rPr>
      </w:pPr>
    </w:p>
    <w:p w:rsidR="00B00B70" w:rsidRPr="0052129A" w:rsidRDefault="00D12399" w:rsidP="0052129A">
      <w:pPr>
        <w:pStyle w:val="FootnoteText"/>
        <w:jc w:val="both"/>
        <w:rPr>
          <w:rFonts w:asciiTheme="majorHAnsi" w:hAnsiTheme="majorHAnsi" w:cstheme="majorHAnsi"/>
          <w:color w:val="000000" w:themeColor="text1"/>
          <w:sz w:val="24"/>
          <w:szCs w:val="24"/>
        </w:rPr>
      </w:pPr>
      <w:r w:rsidRPr="0052129A">
        <w:rPr>
          <w:rFonts w:asciiTheme="majorHAnsi" w:hAnsiTheme="majorHAnsi" w:cstheme="majorHAnsi"/>
          <w:sz w:val="24"/>
          <w:szCs w:val="24"/>
          <w:lang w:val="en-US"/>
        </w:rPr>
        <w:t>The Centre for Media Pluralism and Media Freedom</w:t>
      </w:r>
      <w:r w:rsidRPr="0052129A">
        <w:rPr>
          <w:rFonts w:asciiTheme="majorHAnsi" w:hAnsiTheme="majorHAnsi" w:cstheme="majorHAnsi"/>
          <w:color w:val="000000" w:themeColor="text1"/>
          <w:sz w:val="24"/>
          <w:szCs w:val="24"/>
          <w:lang w:val="en-US"/>
        </w:rPr>
        <w:t>,</w:t>
      </w:r>
      <w:r w:rsidR="00B00B70" w:rsidRPr="0052129A">
        <w:rPr>
          <w:rFonts w:asciiTheme="majorHAnsi" w:hAnsiTheme="majorHAnsi" w:cstheme="majorHAnsi"/>
          <w:color w:val="000000" w:themeColor="text1"/>
          <w:sz w:val="24"/>
          <w:szCs w:val="24"/>
          <w:lang w:val="en-US"/>
        </w:rPr>
        <w:t xml:space="preserve"> ‘Country Report: Turkey’ [2018].</w:t>
      </w:r>
    </w:p>
    <w:p w:rsidR="00B00B70" w:rsidRPr="0052129A" w:rsidRDefault="00B00B70"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pStyle w:val="FootnoteText"/>
        <w:numPr>
          <w:ilvl w:val="0"/>
          <w:numId w:val="15"/>
        </w:numPr>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‘EU Competencies in respect of Media Pluralism and Media Freedom’ [2013].</w:t>
      </w:r>
    </w:p>
    <w:p w:rsidR="00AE1F6A" w:rsidRPr="0052129A" w:rsidRDefault="00AE1F6A" w:rsidP="0052129A">
      <w:pPr>
        <w:pStyle w:val="FootnoteText"/>
        <w:ind w:left="720"/>
        <w:jc w:val="both"/>
        <w:rPr>
          <w:rFonts w:asciiTheme="majorHAnsi" w:hAnsiTheme="majorHAnsi" w:cstheme="majorHAnsi"/>
          <w:color w:val="000000" w:themeColor="text1"/>
          <w:sz w:val="24"/>
          <w:szCs w:val="24"/>
          <w:lang w:val="en-US"/>
        </w:rPr>
      </w:pPr>
    </w:p>
    <w:p w:rsidR="002150A8" w:rsidRPr="0052129A" w:rsidRDefault="002150A8" w:rsidP="0052129A">
      <w:pPr>
        <w:pStyle w:val="FootnoteText"/>
        <w:numPr>
          <w:ilvl w:val="0"/>
          <w:numId w:val="15"/>
        </w:numPr>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‘Monitoring Media Pluralism in Europe: Application of the MPM 2016 in the EU, Montenegro and Turkey’ [2017].</w:t>
      </w:r>
    </w:p>
    <w:p w:rsidR="002150A8" w:rsidRPr="0052129A" w:rsidRDefault="002150A8" w:rsidP="0052129A">
      <w:pPr>
        <w:pStyle w:val="ListParagraph"/>
        <w:jc w:val="both"/>
        <w:rPr>
          <w:rFonts w:asciiTheme="majorHAnsi" w:hAnsiTheme="majorHAnsi" w:cstheme="majorHAnsi"/>
          <w:color w:val="000000" w:themeColor="text1"/>
          <w:lang w:val="en-US"/>
        </w:rPr>
      </w:pPr>
    </w:p>
    <w:p w:rsidR="00A33DF2" w:rsidRPr="0052129A" w:rsidRDefault="00D12399" w:rsidP="0052129A">
      <w:pPr>
        <w:pStyle w:val="FootnoteText"/>
        <w:numPr>
          <w:ilvl w:val="0"/>
          <w:numId w:val="15"/>
        </w:numPr>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‘Monitoring Media Pluralism in Europe: Application of the MPM 2017 in the EU, FYROM, Serbia &amp; Turkey’ [2018].</w:t>
      </w:r>
    </w:p>
    <w:p w:rsidR="00A33DF2" w:rsidRPr="0052129A" w:rsidRDefault="00A33DF2"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The Commercial Broadcasters Association (COBA), ‘Promoting Growth, Pluralism and Choice’ [2016].</w:t>
      </w:r>
    </w:p>
    <w:p w:rsidR="00A33DF2" w:rsidRPr="0052129A" w:rsidRDefault="00A33DF2" w:rsidP="0052129A">
      <w:pPr>
        <w:pStyle w:val="FootnoteText"/>
        <w:jc w:val="both"/>
        <w:rPr>
          <w:rFonts w:asciiTheme="majorHAnsi" w:hAnsiTheme="majorHAnsi" w:cstheme="majorHAnsi"/>
          <w:color w:val="000000" w:themeColor="text1"/>
          <w:sz w:val="24"/>
          <w:szCs w:val="24"/>
          <w:lang w:val="en-US"/>
        </w:rPr>
      </w:pPr>
    </w:p>
    <w:p w:rsidR="00A33DF2" w:rsidRPr="00A01E30" w:rsidRDefault="007F6633" w:rsidP="00A01E30">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sz w:val="24"/>
          <w:szCs w:val="24"/>
          <w:lang w:val="en-US"/>
        </w:rPr>
        <w:t>The European Commission,</w:t>
      </w:r>
      <w:r w:rsidR="00AB2C9B" w:rsidRPr="0052129A">
        <w:rPr>
          <w:rFonts w:asciiTheme="majorHAnsi" w:hAnsiTheme="majorHAnsi" w:cstheme="majorHAnsi"/>
          <w:color w:val="000000" w:themeColor="text1"/>
          <w:sz w:val="24"/>
          <w:szCs w:val="24"/>
          <w:lang w:val="en-US"/>
        </w:rPr>
        <w:t xml:space="preserve"> </w:t>
      </w:r>
      <w:r w:rsidR="00A33DF2" w:rsidRPr="0052129A">
        <w:rPr>
          <w:rFonts w:asciiTheme="majorHAnsi" w:hAnsiTheme="majorHAnsi" w:cstheme="majorHAnsi"/>
          <w:color w:val="000000" w:themeColor="text1"/>
          <w:sz w:val="24"/>
          <w:szCs w:val="24"/>
          <w:lang w:val="en-US"/>
        </w:rPr>
        <w:t>‘Commission Work Programme 2020’ (Communication) COM (2020) 37 final.</w:t>
      </w:r>
    </w:p>
    <w:p w:rsidR="00A33DF2" w:rsidRPr="0052129A" w:rsidRDefault="00A33DF2" w:rsidP="0052129A">
      <w:pPr>
        <w:pStyle w:val="ListParagraph"/>
        <w:numPr>
          <w:ilvl w:val="0"/>
          <w:numId w:val="15"/>
        </w:numPr>
        <w:jc w:val="both"/>
        <w:rPr>
          <w:rFonts w:asciiTheme="majorHAnsi" w:hAnsiTheme="majorHAnsi" w:cstheme="majorHAnsi"/>
          <w:b/>
          <w:lang w:val="en-US"/>
        </w:rPr>
      </w:pPr>
      <w:r w:rsidRPr="0052129A">
        <w:rPr>
          <w:rFonts w:asciiTheme="majorHAnsi" w:hAnsiTheme="majorHAnsi" w:cstheme="majorHAnsi"/>
          <w:color w:val="000000" w:themeColor="text1"/>
          <w:lang w:val="en-US"/>
        </w:rPr>
        <w:lastRenderedPageBreak/>
        <w:t>‘Further Strengthening the Rule of Law within the Union’ (Communication) COM (2019) 163 final.</w:t>
      </w:r>
    </w:p>
    <w:p w:rsidR="00EC1546" w:rsidRPr="0052129A" w:rsidRDefault="00EC1546" w:rsidP="0052129A">
      <w:pPr>
        <w:pStyle w:val="ListParagraph"/>
        <w:jc w:val="both"/>
        <w:rPr>
          <w:rFonts w:asciiTheme="majorHAnsi" w:hAnsiTheme="majorHAnsi" w:cstheme="majorHAnsi"/>
          <w:b/>
          <w:lang w:val="en-US"/>
        </w:rPr>
      </w:pPr>
    </w:p>
    <w:p w:rsidR="00A33DF2" w:rsidRPr="0052129A" w:rsidRDefault="00A33DF2" w:rsidP="0052129A">
      <w:pPr>
        <w:pStyle w:val="FootnoteText"/>
        <w:numPr>
          <w:ilvl w:val="0"/>
          <w:numId w:val="15"/>
        </w:numPr>
        <w:jc w:val="both"/>
        <w:rPr>
          <w:rFonts w:asciiTheme="majorHAnsi" w:hAnsiTheme="majorHAnsi" w:cstheme="majorHAnsi"/>
          <w:sz w:val="24"/>
          <w:szCs w:val="24"/>
          <w:lang w:val="en-US"/>
        </w:rPr>
      </w:pPr>
      <w:r w:rsidRPr="0052129A">
        <w:rPr>
          <w:rFonts w:asciiTheme="majorHAnsi" w:hAnsiTheme="majorHAnsi" w:cstheme="majorHAnsi"/>
          <w:sz w:val="24"/>
          <w:szCs w:val="24"/>
          <w:lang w:val="en-US"/>
        </w:rPr>
        <w:t>‘Proposal for a Regulation establishing the Creative Europe programme (2021 to 2027) and repealing Regulation (EU) No 1295/2013</w:t>
      </w:r>
      <w:r w:rsidR="001A0AFC" w:rsidRPr="0052129A">
        <w:rPr>
          <w:rFonts w:asciiTheme="majorHAnsi" w:hAnsiTheme="majorHAnsi" w:cstheme="majorHAnsi"/>
          <w:sz w:val="24"/>
          <w:szCs w:val="24"/>
          <w:lang w:val="en-US"/>
        </w:rPr>
        <w:t>’</w:t>
      </w:r>
      <w:r w:rsidRPr="0052129A">
        <w:rPr>
          <w:rFonts w:asciiTheme="majorHAnsi" w:hAnsiTheme="majorHAnsi" w:cstheme="majorHAnsi"/>
          <w:sz w:val="24"/>
          <w:szCs w:val="24"/>
          <w:lang w:val="en-US"/>
        </w:rPr>
        <w:t xml:space="preserve"> (Proposal) COM (2018) 366 final.</w:t>
      </w:r>
    </w:p>
    <w:p w:rsidR="00A33DF2" w:rsidRPr="0052129A" w:rsidRDefault="00A33DF2" w:rsidP="0052129A">
      <w:pPr>
        <w:pStyle w:val="FootnoteText"/>
        <w:ind w:left="720"/>
        <w:jc w:val="both"/>
        <w:rPr>
          <w:rFonts w:asciiTheme="majorHAnsi" w:hAnsiTheme="majorHAnsi" w:cstheme="majorHAnsi"/>
          <w:sz w:val="24"/>
          <w:szCs w:val="24"/>
          <w:lang w:val="en-US"/>
        </w:rPr>
      </w:pPr>
    </w:p>
    <w:p w:rsidR="00A33DF2" w:rsidRPr="0052129A" w:rsidRDefault="00A33DF2" w:rsidP="0052129A">
      <w:pPr>
        <w:pStyle w:val="FootnoteText"/>
        <w:jc w:val="both"/>
        <w:rPr>
          <w:rFonts w:asciiTheme="majorHAnsi" w:hAnsiTheme="majorHAnsi" w:cstheme="majorHAnsi"/>
          <w:sz w:val="24"/>
          <w:szCs w:val="24"/>
          <w:lang w:val="en-US"/>
        </w:rPr>
      </w:pPr>
      <w:r w:rsidRPr="0052129A">
        <w:rPr>
          <w:rFonts w:asciiTheme="majorHAnsi" w:hAnsiTheme="majorHAnsi" w:cstheme="majorHAnsi"/>
          <w:sz w:val="24"/>
          <w:szCs w:val="24"/>
          <w:lang w:val="en-US"/>
        </w:rPr>
        <w:t xml:space="preserve">The European Parliament, ‘EP Resolution of 3 May 2018 on Media Pluralism and Media Freedom in the EU’ (3 May 2018). </w:t>
      </w:r>
    </w:p>
    <w:p w:rsidR="00A33DF2" w:rsidRPr="0052129A" w:rsidRDefault="00A33DF2" w:rsidP="0052129A">
      <w:pPr>
        <w:pStyle w:val="FootnoteText"/>
        <w:jc w:val="both"/>
        <w:rPr>
          <w:rFonts w:asciiTheme="majorHAnsi" w:hAnsiTheme="majorHAnsi" w:cstheme="majorHAnsi"/>
          <w:sz w:val="24"/>
          <w:szCs w:val="24"/>
          <w:lang w:val="en-US"/>
        </w:rPr>
      </w:pPr>
    </w:p>
    <w:p w:rsidR="00A33DF2" w:rsidRPr="0052129A" w:rsidRDefault="00A33DF2" w:rsidP="0052129A">
      <w:pPr>
        <w:pStyle w:val="FootnoteText"/>
        <w:numPr>
          <w:ilvl w:val="0"/>
          <w:numId w:val="15"/>
        </w:numPr>
        <w:jc w:val="both"/>
        <w:rPr>
          <w:rFonts w:asciiTheme="majorHAnsi" w:hAnsiTheme="majorHAnsi" w:cstheme="majorHAnsi"/>
          <w:sz w:val="24"/>
          <w:szCs w:val="24"/>
          <w:lang w:val="en-US"/>
        </w:rPr>
      </w:pPr>
      <w:r w:rsidRPr="0052129A">
        <w:rPr>
          <w:rFonts w:asciiTheme="majorHAnsi" w:hAnsiTheme="majorHAnsi" w:cstheme="majorHAnsi"/>
          <w:sz w:val="24"/>
          <w:szCs w:val="24"/>
          <w:lang w:val="en-US"/>
        </w:rPr>
        <w:t>‘Report on Media Pluralism and Media Freedom in the EU’ (12 April 2018).</w:t>
      </w:r>
    </w:p>
    <w:p w:rsidR="00AE1F6A" w:rsidRPr="0052129A" w:rsidRDefault="00AE1F6A"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Valcke P and others, ‘Independent Study on Indicators for Media Pluralism in the Member States – Towards a Risk-Based Approach’ [2009] vii.</w:t>
      </w:r>
    </w:p>
    <w:p w:rsidR="00AE1F6A" w:rsidRPr="0052129A" w:rsidRDefault="00AE1F6A" w:rsidP="0052129A">
      <w:pPr>
        <w:pStyle w:val="FootnoteText"/>
        <w:jc w:val="both"/>
        <w:rPr>
          <w:rFonts w:asciiTheme="majorHAnsi" w:hAnsiTheme="majorHAnsi" w:cstheme="majorHAnsi"/>
          <w:color w:val="000000" w:themeColor="text1"/>
          <w:sz w:val="24"/>
          <w:szCs w:val="24"/>
          <w:lang w:val="en-US"/>
        </w:rPr>
      </w:pPr>
    </w:p>
    <w:p w:rsidR="00D12399" w:rsidRPr="0052129A" w:rsidRDefault="00D12399" w:rsidP="0052129A">
      <w:pPr>
        <w:pStyle w:val="FootnoteText"/>
        <w:jc w:val="both"/>
        <w:rPr>
          <w:rFonts w:asciiTheme="majorHAnsi" w:hAnsiTheme="majorHAnsi" w:cstheme="majorHAnsi"/>
          <w:color w:val="000000" w:themeColor="text1"/>
          <w:sz w:val="24"/>
          <w:szCs w:val="24"/>
          <w:lang w:val="en-US"/>
        </w:rPr>
      </w:pPr>
      <w:r w:rsidRPr="0052129A">
        <w:rPr>
          <w:rFonts w:asciiTheme="majorHAnsi" w:hAnsiTheme="majorHAnsi" w:cstheme="majorHAnsi"/>
          <w:color w:val="000000" w:themeColor="text1"/>
          <w:sz w:val="24"/>
          <w:szCs w:val="24"/>
          <w:lang w:val="en-US"/>
        </w:rPr>
        <w:t>Valcke P and others, ‘The MPM: Bridging Law, Economics and Media Studies as a First Step towards Risk-Based Regulation in Media Markets’ [2010] 2(1) JML.</w:t>
      </w:r>
    </w:p>
    <w:p w:rsidR="0069562E" w:rsidRPr="0052129A" w:rsidRDefault="0069562E" w:rsidP="0052129A">
      <w:pPr>
        <w:jc w:val="both"/>
        <w:rPr>
          <w:rFonts w:asciiTheme="majorHAnsi" w:hAnsiTheme="majorHAnsi" w:cstheme="majorHAnsi"/>
          <w:b/>
          <w:lang w:val="en-US"/>
        </w:rPr>
      </w:pPr>
    </w:p>
    <w:p w:rsidR="002B3F59" w:rsidRPr="0052129A" w:rsidRDefault="002B3F59" w:rsidP="0052129A">
      <w:pPr>
        <w:pStyle w:val="ListParagraph"/>
        <w:numPr>
          <w:ilvl w:val="0"/>
          <w:numId w:val="12"/>
        </w:numPr>
        <w:ind w:left="567" w:hanging="567"/>
        <w:jc w:val="both"/>
        <w:rPr>
          <w:rFonts w:asciiTheme="majorHAnsi" w:hAnsiTheme="majorHAnsi" w:cstheme="majorHAnsi"/>
          <w:b/>
          <w:lang w:val="en-US"/>
        </w:rPr>
      </w:pPr>
      <w:r w:rsidRPr="0052129A">
        <w:rPr>
          <w:rFonts w:asciiTheme="majorHAnsi" w:hAnsiTheme="majorHAnsi" w:cstheme="majorHAnsi"/>
          <w:b/>
          <w:lang w:val="en-US"/>
        </w:rPr>
        <w:t>Newspaper Articles</w:t>
      </w:r>
      <w:r w:rsidR="005D2E88" w:rsidRPr="0052129A">
        <w:rPr>
          <w:rFonts w:asciiTheme="majorHAnsi" w:hAnsiTheme="majorHAnsi" w:cstheme="majorHAnsi"/>
          <w:b/>
          <w:lang w:val="en-US"/>
        </w:rPr>
        <w:t>, Websites</w:t>
      </w:r>
      <w:r w:rsidRPr="0052129A">
        <w:rPr>
          <w:rFonts w:asciiTheme="majorHAnsi" w:hAnsiTheme="majorHAnsi" w:cstheme="majorHAnsi"/>
          <w:b/>
          <w:lang w:val="en-US"/>
        </w:rPr>
        <w:t xml:space="preserve"> and Blogs</w:t>
      </w:r>
    </w:p>
    <w:p w:rsidR="00622539" w:rsidRPr="0052129A" w:rsidRDefault="00622539" w:rsidP="0052129A">
      <w:pPr>
        <w:jc w:val="both"/>
        <w:rPr>
          <w:rFonts w:asciiTheme="majorHAnsi" w:eastAsiaTheme="majorEastAsia" w:hAnsiTheme="majorHAnsi" w:cstheme="majorHAnsi"/>
          <w:color w:val="000000" w:themeColor="text1"/>
          <w:lang w:val="en-US"/>
        </w:rPr>
      </w:pPr>
    </w:p>
    <w:p w:rsidR="00622539" w:rsidRPr="0052129A" w:rsidRDefault="00622539"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&lt;</w:t>
      </w:r>
      <w:hyperlink r:id="rId9" w:history="1">
        <w:r w:rsidRPr="0052129A">
          <w:rPr>
            <w:rStyle w:val="Hyperlink"/>
            <w:rFonts w:asciiTheme="majorHAnsi" w:eastAsiaTheme="majorEastAsia" w:hAnsiTheme="majorHAnsi" w:cstheme="majorHAnsi"/>
            <w:color w:val="000000" w:themeColor="text1"/>
            <w:lang w:val="en-US"/>
          </w:rPr>
          <w:t>https://cmpf.eui.eu/</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27 April 2020.</w:t>
      </w:r>
    </w:p>
    <w:p w:rsidR="00622539" w:rsidRPr="0052129A" w:rsidRDefault="00622539" w:rsidP="0052129A">
      <w:pPr>
        <w:jc w:val="both"/>
        <w:rPr>
          <w:rFonts w:asciiTheme="majorHAnsi" w:eastAsiaTheme="majorEastAsia" w:hAnsiTheme="majorHAnsi" w:cstheme="majorHAnsi"/>
          <w:color w:val="000000" w:themeColor="text1"/>
          <w:lang w:val="en-US"/>
        </w:rPr>
      </w:pPr>
    </w:p>
    <w:p w:rsidR="00622539" w:rsidRPr="0052129A" w:rsidRDefault="00622539"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&lt;</w:t>
      </w:r>
      <w:hyperlink r:id="rId10" w:history="1">
        <w:r w:rsidRPr="0052129A">
          <w:rPr>
            <w:rFonts w:asciiTheme="majorHAnsi" w:hAnsiTheme="majorHAnsi" w:cstheme="majorHAnsi"/>
            <w:color w:val="000000" w:themeColor="text1"/>
            <w:u w:val="single"/>
            <w:lang w:val="en-US"/>
          </w:rPr>
          <w:t>https://mediainitiative.eu/our-mission/</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27 April 2020.</w:t>
      </w:r>
    </w:p>
    <w:p w:rsidR="00622539" w:rsidRPr="0052129A" w:rsidRDefault="00622539"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&lt;</w:t>
      </w:r>
      <w:hyperlink r:id="rId11" w:history="1">
        <w:r w:rsidRPr="0052129A">
          <w:rPr>
            <w:rFonts w:asciiTheme="majorHAnsi" w:hAnsiTheme="majorHAnsi" w:cstheme="majorHAnsi"/>
            <w:color w:val="000000" w:themeColor="text1"/>
            <w:u w:val="single"/>
            <w:lang w:val="en-US"/>
          </w:rPr>
          <w:t>www.sgi-network.org/2019/Democracy/Quality_of_Democracy/Access_to_Information</w:t>
        </w:r>
      </w:hyperlink>
      <w:r w:rsidRPr="0052129A">
        <w:rPr>
          <w:rFonts w:asciiTheme="majorHAnsi" w:hAnsiTheme="majorHAnsi" w:cstheme="majorHAnsi"/>
          <w:color w:val="000000" w:themeColor="text1"/>
          <w:lang w:val="en-US"/>
        </w:rPr>
        <w:t>&gt; accessed 2 May 2020.</w:t>
      </w:r>
    </w:p>
    <w:p w:rsidR="00A33DF2" w:rsidRPr="0052129A" w:rsidRDefault="00A33DF2" w:rsidP="0052129A">
      <w:pPr>
        <w:jc w:val="both"/>
        <w:rPr>
          <w:rFonts w:asciiTheme="majorHAnsi" w:hAnsiTheme="majorHAnsi" w:cstheme="majorHAnsi"/>
          <w:color w:val="000000" w:themeColor="text1"/>
          <w:lang w:val="en-US"/>
        </w:rPr>
      </w:pPr>
    </w:p>
    <w:p w:rsidR="00A33DF2" w:rsidRPr="0052129A" w:rsidRDefault="00A33DF2"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BBC, ‘Phone-hacking trial explained’ (25 June 2014) &lt;</w:t>
      </w:r>
      <w:hyperlink r:id="rId12" w:history="1">
        <w:r w:rsidRPr="0052129A">
          <w:rPr>
            <w:rStyle w:val="Hyperlink"/>
            <w:rFonts w:asciiTheme="majorHAnsi" w:hAnsiTheme="majorHAnsi" w:cstheme="majorHAnsi"/>
            <w:color w:val="000000" w:themeColor="text1"/>
            <w:lang w:val="en-US"/>
          </w:rPr>
          <w:t>www.bbc.co.uk/news/uk-24894403</w:t>
        </w:r>
      </w:hyperlink>
      <w:r w:rsidRPr="0052129A">
        <w:rPr>
          <w:rFonts w:asciiTheme="majorHAnsi" w:hAnsiTheme="majorHAnsi" w:cstheme="majorHAnsi"/>
          <w:color w:val="000000" w:themeColor="text1"/>
          <w:lang w:val="en-US"/>
        </w:rPr>
        <w:t>&gt; accessed 30 April 2020.</w:t>
      </w:r>
    </w:p>
    <w:p w:rsidR="00A33DF2" w:rsidRPr="0052129A" w:rsidRDefault="00A33DF2" w:rsidP="0052129A">
      <w:pPr>
        <w:jc w:val="both"/>
        <w:rPr>
          <w:rFonts w:asciiTheme="majorHAnsi" w:hAnsiTheme="majorHAnsi" w:cstheme="majorHAnsi"/>
          <w:color w:val="000000" w:themeColor="text1"/>
          <w:lang w:val="en-US"/>
        </w:rPr>
      </w:pPr>
    </w:p>
    <w:p w:rsidR="00A33DF2" w:rsidRPr="0052129A" w:rsidRDefault="00A33DF2"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Donadio R, ‘A Tiny Island Exposes Europe’s Failures’ (The Atlantic, 5 December 2019) &lt;</w:t>
      </w:r>
      <w:hyperlink r:id="rId13" w:history="1">
        <w:r w:rsidRPr="0052129A">
          <w:rPr>
            <w:rStyle w:val="Hyperlink"/>
            <w:rFonts w:asciiTheme="majorHAnsi" w:eastAsiaTheme="majorEastAsia" w:hAnsiTheme="majorHAnsi" w:cstheme="majorHAnsi"/>
            <w:color w:val="000000" w:themeColor="text1"/>
          </w:rPr>
          <w:t>www.theatlantic.com/international/archive/2019/12/daphne-caruana-galizia-malta/602923/</w:t>
        </w:r>
      </w:hyperlink>
      <w:r w:rsidRPr="0052129A">
        <w:rPr>
          <w:rFonts w:asciiTheme="majorHAnsi" w:hAnsiTheme="majorHAnsi" w:cstheme="majorHAnsi"/>
          <w:color w:val="000000" w:themeColor="text1"/>
          <w:lang w:val="en-US"/>
        </w:rPr>
        <w:t>&gt; accessed 29 April 2020.</w:t>
      </w:r>
    </w:p>
    <w:p w:rsidR="00A33DF2" w:rsidRPr="0052129A" w:rsidRDefault="00A33DF2" w:rsidP="0052129A">
      <w:pPr>
        <w:jc w:val="both"/>
        <w:rPr>
          <w:rFonts w:asciiTheme="majorHAnsi" w:hAnsiTheme="majorHAnsi" w:cstheme="majorHAnsi"/>
          <w:color w:val="000000" w:themeColor="text1"/>
          <w:lang w:val="en-US"/>
        </w:rPr>
      </w:pPr>
    </w:p>
    <w:p w:rsidR="00A33DF2" w:rsidRPr="0052129A" w:rsidRDefault="00A33DF2"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Komorek E, ‘Media Pluralism – EU Solutions (Part 1)’ (TCD 2019-2020 EU DSM – Media Regulation).</w:t>
      </w:r>
    </w:p>
    <w:p w:rsidR="0052129A" w:rsidRPr="0052129A" w:rsidRDefault="0052129A" w:rsidP="0052129A">
      <w:pPr>
        <w:jc w:val="both"/>
        <w:rPr>
          <w:rFonts w:asciiTheme="majorHAnsi" w:hAnsiTheme="majorHAnsi" w:cstheme="majorHAnsi"/>
          <w:color w:val="000000" w:themeColor="text1"/>
          <w:lang w:val="en-US"/>
        </w:rPr>
      </w:pPr>
    </w:p>
    <w:p w:rsidR="0052129A" w:rsidRPr="0052129A" w:rsidRDefault="0052129A" w:rsidP="0052129A">
      <w:pPr>
        <w:jc w:val="both"/>
        <w:rPr>
          <w:rFonts w:asciiTheme="majorHAnsi" w:hAnsiTheme="majorHAnsi" w:cstheme="majorHAnsi"/>
          <w:color w:val="000000" w:themeColor="text1"/>
          <w:szCs w:val="22"/>
          <w:lang w:val="en-US"/>
        </w:rPr>
      </w:pPr>
      <w:r w:rsidRPr="0052129A">
        <w:rPr>
          <w:rFonts w:asciiTheme="majorHAnsi" w:hAnsiTheme="majorHAnsi" w:cstheme="majorHAnsi"/>
          <w:color w:val="000000" w:themeColor="text1"/>
          <w:szCs w:val="22"/>
          <w:lang w:val="en-US"/>
        </w:rPr>
        <w:t>Media Ownership Monitor, ‘Turkey’ &lt;</w:t>
      </w:r>
      <w:hyperlink r:id="rId14" w:history="1">
        <w:r w:rsidRPr="0052129A">
          <w:rPr>
            <w:rStyle w:val="Hyperlink"/>
            <w:rFonts w:asciiTheme="majorHAnsi" w:hAnsiTheme="majorHAnsi" w:cstheme="majorHAnsi"/>
            <w:color w:val="000000" w:themeColor="text1"/>
            <w:szCs w:val="22"/>
          </w:rPr>
          <w:t>www.mom-rsf.org/en/countries/turkey/</w:t>
        </w:r>
      </w:hyperlink>
      <w:r w:rsidRPr="0052129A">
        <w:rPr>
          <w:rFonts w:asciiTheme="majorHAnsi" w:hAnsiTheme="majorHAnsi" w:cstheme="majorHAnsi"/>
          <w:color w:val="000000" w:themeColor="text1"/>
          <w:szCs w:val="22"/>
          <w:lang w:val="en-US"/>
        </w:rPr>
        <w:t xml:space="preserve">&gt; accessed </w:t>
      </w:r>
      <w:r w:rsidRPr="0052129A">
        <w:rPr>
          <w:rFonts w:asciiTheme="majorHAnsi" w:eastAsiaTheme="majorEastAsia" w:hAnsiTheme="majorHAnsi" w:cstheme="majorHAnsi"/>
          <w:color w:val="000000" w:themeColor="text1"/>
          <w:szCs w:val="22"/>
          <w:lang w:val="en-US"/>
        </w:rPr>
        <w:t>29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Oxford English Dictionary, ‘the fourth estate, n.’ (</w:t>
      </w:r>
      <w:r w:rsidRPr="0052129A">
        <w:rPr>
          <w:rFonts w:asciiTheme="majorHAnsi" w:hAnsiTheme="majorHAnsi" w:cstheme="majorHAnsi"/>
          <w:i/>
          <w:color w:val="000000" w:themeColor="text1"/>
          <w:lang w:val="en-US"/>
        </w:rPr>
        <w:t>OED Online</w:t>
      </w:r>
      <w:r w:rsidRPr="0052129A">
        <w:rPr>
          <w:rFonts w:asciiTheme="majorHAnsi" w:hAnsiTheme="majorHAnsi" w:cstheme="majorHAnsi"/>
          <w:color w:val="000000" w:themeColor="text1"/>
          <w:lang w:val="en-US"/>
        </w:rPr>
        <w:t>, OUP March 2020).</w:t>
      </w:r>
    </w:p>
    <w:p w:rsidR="0052129A" w:rsidRPr="0052129A" w:rsidRDefault="0052129A" w:rsidP="0052129A">
      <w:pPr>
        <w:jc w:val="both"/>
        <w:rPr>
          <w:rFonts w:asciiTheme="majorHAnsi" w:hAnsiTheme="majorHAnsi" w:cstheme="majorHAnsi"/>
          <w:color w:val="000000" w:themeColor="text1"/>
          <w:lang w:val="en-US"/>
        </w:rPr>
      </w:pPr>
    </w:p>
    <w:p w:rsidR="0052129A" w:rsidRPr="0052129A" w:rsidRDefault="0052129A" w:rsidP="0052129A">
      <w:pPr>
        <w:jc w:val="both"/>
        <w:rPr>
          <w:rFonts w:asciiTheme="majorHAnsi" w:hAnsiTheme="majorHAnsi" w:cstheme="majorHAnsi"/>
          <w:color w:val="000000" w:themeColor="text1"/>
        </w:rPr>
      </w:pPr>
      <w:r w:rsidRPr="0052129A">
        <w:rPr>
          <w:rFonts w:asciiTheme="majorHAnsi" w:hAnsiTheme="majorHAnsi" w:cstheme="majorHAnsi"/>
          <w:color w:val="000000" w:themeColor="text1"/>
          <w:lang w:val="en-US"/>
        </w:rPr>
        <w:t>Reporters Without Borders, ‘Turkey’ &lt;</w:t>
      </w:r>
      <w:hyperlink r:id="rId15" w:history="1">
        <w:r w:rsidRPr="0052129A">
          <w:rPr>
            <w:rStyle w:val="Hyperlink"/>
            <w:rFonts w:asciiTheme="majorHAnsi" w:hAnsiTheme="majorHAnsi" w:cstheme="majorHAnsi"/>
            <w:color w:val="000000" w:themeColor="text1"/>
          </w:rPr>
          <w:t>https://rsf.org/en/taxonomy/term/145</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29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Sirotnikova M and Santora M, ‘Journalist’s Murder Puts a Tycoon, and a Nation, on Trial’ (The New York Times, 28 February 2020) &lt;</w:t>
      </w:r>
      <w:hyperlink r:id="rId16" w:history="1">
        <w:r w:rsidRPr="0052129A">
          <w:rPr>
            <w:rStyle w:val="Hyperlink"/>
            <w:rFonts w:asciiTheme="majorHAnsi" w:hAnsiTheme="majorHAnsi" w:cstheme="majorHAnsi"/>
            <w:color w:val="000000" w:themeColor="text1"/>
            <w:lang w:val="en-US"/>
          </w:rPr>
          <w:t>www.nytimes.com/2020/02/28/world/europe/jan-kuciak-marian-kocner-trial.html</w:t>
        </w:r>
      </w:hyperlink>
      <w:r w:rsidRPr="0052129A">
        <w:rPr>
          <w:rFonts w:asciiTheme="majorHAnsi" w:hAnsiTheme="majorHAnsi" w:cstheme="majorHAnsi"/>
          <w:color w:val="000000" w:themeColor="text1"/>
          <w:lang w:val="en-US"/>
        </w:rPr>
        <w:t>&gt; accessed 29 April 2020.</w:t>
      </w:r>
    </w:p>
    <w:p w:rsidR="00000AD7" w:rsidRPr="0052129A" w:rsidRDefault="00000AD7" w:rsidP="0052129A">
      <w:pPr>
        <w:jc w:val="both"/>
        <w:rPr>
          <w:rFonts w:asciiTheme="majorHAnsi" w:hAnsiTheme="majorHAnsi" w:cstheme="majorHAnsi"/>
          <w:color w:val="000000" w:themeColor="text1"/>
          <w:lang w:val="en-US"/>
        </w:rPr>
      </w:pPr>
    </w:p>
    <w:p w:rsidR="00A33DF2" w:rsidRPr="0052129A" w:rsidRDefault="00000AD7"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Sweney M, ‘Premier League brings record number of sign-ups to Amazon Prime’ (The Guardian, 6 December 2019) &lt;</w:t>
      </w:r>
      <w:hyperlink r:id="rId17" w:history="1">
        <w:r w:rsidRPr="0052129A">
          <w:rPr>
            <w:rStyle w:val="Hyperlink"/>
            <w:rFonts w:asciiTheme="majorHAnsi" w:hAnsiTheme="majorHAnsi" w:cstheme="majorHAnsi"/>
            <w:color w:val="000000" w:themeColor="text1"/>
            <w:lang w:val="en-US"/>
          </w:rPr>
          <w:t>www.theguardian.com/technology/2019/dec/06/premier-league-brings-record-number-of-sign-ups-to-amazon-prime</w:t>
        </w:r>
      </w:hyperlink>
      <w:r w:rsidRPr="0052129A">
        <w:rPr>
          <w:rFonts w:asciiTheme="majorHAnsi" w:hAnsiTheme="majorHAnsi" w:cstheme="majorHAnsi"/>
          <w:color w:val="000000" w:themeColor="text1"/>
          <w:lang w:val="en-US"/>
        </w:rPr>
        <w:t>&gt; accessed 1 May 2020.</w:t>
      </w:r>
    </w:p>
    <w:p w:rsidR="00A33DF2" w:rsidRPr="0052129A" w:rsidRDefault="00A33DF2"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lang w:val="en-US"/>
        </w:rPr>
        <w:lastRenderedPageBreak/>
        <w:t>The Centre for Media Pluralism and Media Freedom</w:t>
      </w:r>
      <w:r w:rsidRPr="0052129A">
        <w:rPr>
          <w:rFonts w:asciiTheme="majorHAnsi" w:hAnsiTheme="majorHAnsi" w:cstheme="majorHAnsi"/>
          <w:color w:val="000000" w:themeColor="text1"/>
          <w:lang w:val="en-US"/>
        </w:rPr>
        <w:t>, ‘MPM 2020 &lt;</w:t>
      </w:r>
      <w:hyperlink r:id="rId18" w:history="1">
        <w:r w:rsidRPr="0052129A">
          <w:rPr>
            <w:rFonts w:asciiTheme="majorHAnsi" w:hAnsiTheme="majorHAnsi" w:cstheme="majorHAnsi"/>
            <w:color w:val="000000" w:themeColor="text1"/>
            <w:u w:val="single"/>
          </w:rPr>
          <w:t>https://cmpf.eui.eu/media-pluralism-monitor/mpm-2020/</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28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The Economist, ‘Poland and the EU on the Naughty Step’ (14 January 2016) &lt;</w:t>
      </w:r>
      <w:hyperlink r:id="rId19" w:history="1">
        <w:r w:rsidRPr="0052129A">
          <w:rPr>
            <w:rStyle w:val="Hyperlink"/>
            <w:rFonts w:asciiTheme="majorHAnsi" w:hAnsiTheme="majorHAnsi" w:cstheme="majorHAnsi"/>
            <w:color w:val="000000" w:themeColor="text1"/>
            <w:lang w:val="en-US"/>
          </w:rPr>
          <w:t>www.economist.com/europe/2016/01/14/on-the-naughty-step</w:t>
        </w:r>
      </w:hyperlink>
      <w:r w:rsidRPr="0052129A">
        <w:rPr>
          <w:rFonts w:asciiTheme="majorHAnsi" w:hAnsiTheme="majorHAnsi" w:cstheme="majorHAnsi"/>
          <w:color w:val="000000" w:themeColor="text1"/>
          <w:lang w:val="en-US"/>
        </w:rPr>
        <w:t>&gt; accessed 30 April 2020.</w:t>
      </w:r>
    </w:p>
    <w:p w:rsidR="00A33DF2" w:rsidRPr="0052129A" w:rsidRDefault="00A33DF2" w:rsidP="0052129A">
      <w:pPr>
        <w:jc w:val="both"/>
        <w:rPr>
          <w:rFonts w:asciiTheme="majorHAnsi" w:hAnsiTheme="majorHAnsi" w:cstheme="majorHAnsi"/>
          <w:color w:val="000000" w:themeColor="text1"/>
          <w:lang w:val="en-US"/>
        </w:rPr>
      </w:pPr>
    </w:p>
    <w:p w:rsidR="00A33DF2" w:rsidRPr="0052129A" w:rsidRDefault="00A33DF2"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The European Commission, ‘AVMSD – List of Major Events’ &lt;</w:t>
      </w:r>
      <w:hyperlink r:id="rId20" w:history="1">
        <w:r w:rsidRPr="0052129A">
          <w:rPr>
            <w:rFonts w:asciiTheme="majorHAnsi" w:hAnsiTheme="majorHAnsi" w:cstheme="majorHAnsi"/>
            <w:color w:val="000000" w:themeColor="text1"/>
            <w:u w:val="single"/>
            <w:lang w:val="en-US"/>
          </w:rPr>
          <w:t>https://ec.europa.eu/digital-single-market/avmsd-list-major-events</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30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pStyle w:val="ListParagraph"/>
        <w:numPr>
          <w:ilvl w:val="0"/>
          <w:numId w:val="15"/>
        </w:num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w:t>
      </w:r>
      <w:r w:rsidRPr="0052129A">
        <w:rPr>
          <w:rFonts w:asciiTheme="majorHAnsi" w:hAnsiTheme="majorHAnsi" w:cstheme="majorHAnsi"/>
          <w:lang w:val="en-US"/>
        </w:rPr>
        <w:t>High-Level Group on Media Freedom and Pluralism</w:t>
      </w:r>
      <w:r w:rsidRPr="0052129A">
        <w:rPr>
          <w:rFonts w:asciiTheme="majorHAnsi" w:hAnsiTheme="majorHAnsi" w:cstheme="majorHAnsi"/>
          <w:color w:val="000000" w:themeColor="text1"/>
          <w:lang w:val="en-US"/>
        </w:rPr>
        <w:t>’ &lt;</w:t>
      </w:r>
      <w:hyperlink r:id="rId21" w:history="1">
        <w:r w:rsidRPr="0052129A">
          <w:rPr>
            <w:rStyle w:val="Hyperlink"/>
            <w:rFonts w:asciiTheme="majorHAnsi" w:hAnsiTheme="majorHAnsi" w:cstheme="majorHAnsi"/>
            <w:color w:val="000000" w:themeColor="text1"/>
            <w:lang w:val="en-US"/>
          </w:rPr>
          <w:t>https://ec.europa.eu/digital-single-market/en/high-level-group-media-freedom-and-pluralism</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27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pStyle w:val="ListParagraph"/>
        <w:numPr>
          <w:ilvl w:val="0"/>
          <w:numId w:val="15"/>
        </w:num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‘Initiative to Strengthen the Rule of Law in the EU’ &lt;</w:t>
      </w:r>
      <w:hyperlink r:id="rId22" w:anchor="strengthening-the-rule-of-law-in-the-union" w:history="1">
        <w:r w:rsidRPr="0052129A">
          <w:rPr>
            <w:rFonts w:asciiTheme="majorHAnsi" w:hAnsiTheme="majorHAnsi" w:cstheme="majorHAnsi"/>
            <w:color w:val="000000" w:themeColor="text1"/>
            <w:u w:val="single"/>
            <w:lang w:val="en-US"/>
          </w:rPr>
          <w:t>https://ec.europa.eu/info/policies/justice-and-fundamental-rights/upholding-rule-law/rule-law/initiative-strengthen-rule-law-eu_en#strengthening-the-rule-of-law-in-the-union</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29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pStyle w:val="ListParagraph"/>
        <w:numPr>
          <w:ilvl w:val="0"/>
          <w:numId w:val="15"/>
        </w:num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‘Media Freedom and Pluralism’ &lt;</w:t>
      </w:r>
      <w:hyperlink r:id="rId23" w:history="1">
        <w:r w:rsidRPr="0052129A">
          <w:rPr>
            <w:rStyle w:val="Hyperlink"/>
            <w:rFonts w:asciiTheme="majorHAnsi" w:eastAsiaTheme="majorEastAsia" w:hAnsiTheme="majorHAnsi" w:cstheme="majorHAnsi"/>
            <w:color w:val="000000" w:themeColor="text1"/>
            <w:lang w:val="en-US"/>
          </w:rPr>
          <w:t>https://ec.europa.eu/digital-single-market/en/policies/media-freedom-and-pluralism</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25 April 2020.</w:t>
      </w:r>
    </w:p>
    <w:p w:rsidR="00A33DF2" w:rsidRPr="0052129A" w:rsidRDefault="00A33DF2" w:rsidP="0052129A">
      <w:pPr>
        <w:pStyle w:val="ListParagraph"/>
        <w:jc w:val="both"/>
        <w:rPr>
          <w:rFonts w:asciiTheme="majorHAnsi" w:hAnsiTheme="majorHAnsi" w:cstheme="majorHAnsi"/>
          <w:color w:val="000000" w:themeColor="text1"/>
          <w:lang w:val="en-US"/>
        </w:rPr>
      </w:pPr>
    </w:p>
    <w:p w:rsidR="00A33DF2" w:rsidRPr="0052129A" w:rsidRDefault="00A33DF2" w:rsidP="0052129A">
      <w:pPr>
        <w:pStyle w:val="ListParagraph"/>
        <w:numPr>
          <w:ilvl w:val="0"/>
          <w:numId w:val="15"/>
        </w:num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‘Monitoring Media Pluralism in the Digital Era’ &lt;</w:t>
      </w:r>
      <w:hyperlink r:id="rId24" w:history="1">
        <w:r w:rsidRPr="0052129A">
          <w:rPr>
            <w:rFonts w:asciiTheme="majorHAnsi" w:hAnsiTheme="majorHAnsi" w:cstheme="majorHAnsi"/>
            <w:color w:val="000000" w:themeColor="text1"/>
            <w:u w:val="single"/>
            <w:lang w:val="en-US"/>
          </w:rPr>
          <w:t>https://ec.europa.eu/digital-single-market/en/media-pluralism-monitor-mpm</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27 April 2020.</w:t>
      </w:r>
    </w:p>
    <w:p w:rsidR="00A33DF2" w:rsidRPr="0052129A" w:rsidRDefault="00A33DF2" w:rsidP="0052129A">
      <w:pPr>
        <w:pStyle w:val="ListParagraph"/>
        <w:jc w:val="both"/>
        <w:rPr>
          <w:rFonts w:asciiTheme="majorHAnsi" w:eastAsiaTheme="majorEastAsia" w:hAnsiTheme="majorHAnsi" w:cstheme="majorHAnsi"/>
          <w:color w:val="000000" w:themeColor="text1"/>
          <w:lang w:val="en-US"/>
        </w:rPr>
      </w:pPr>
    </w:p>
    <w:p w:rsidR="00A33DF2" w:rsidRPr="0052129A" w:rsidRDefault="00A33DF2"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lang w:val="en-US"/>
        </w:rPr>
        <w:t>The European Parliament</w:t>
      </w:r>
      <w:r w:rsidRPr="0052129A">
        <w:rPr>
          <w:rFonts w:asciiTheme="majorHAnsi" w:hAnsiTheme="majorHAnsi" w:cstheme="majorHAnsi"/>
          <w:color w:val="000000" w:themeColor="text1"/>
          <w:lang w:val="en-US"/>
        </w:rPr>
        <w:t>, ‘European Citizens’ Initiative’ &lt;</w:t>
      </w:r>
      <w:hyperlink r:id="rId25" w:history="1">
        <w:r w:rsidRPr="0052129A">
          <w:rPr>
            <w:rFonts w:asciiTheme="majorHAnsi" w:hAnsiTheme="majorHAnsi" w:cstheme="majorHAnsi"/>
            <w:color w:val="000000" w:themeColor="text1"/>
            <w:u w:val="single"/>
            <w:lang w:val="en-US"/>
          </w:rPr>
          <w:t>www.europarl.europa.eu/factsheets/en/sheet/149/european-citizens-initiative</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26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pStyle w:val="ListParagraph"/>
        <w:numPr>
          <w:ilvl w:val="0"/>
          <w:numId w:val="15"/>
        </w:numPr>
        <w:jc w:val="both"/>
        <w:rPr>
          <w:rFonts w:asciiTheme="majorHAnsi" w:hAnsiTheme="majorHAnsi" w:cstheme="majorHAnsi"/>
          <w:color w:val="000000" w:themeColor="text1"/>
          <w:lang w:val="en-US"/>
        </w:rPr>
      </w:pPr>
      <w:r w:rsidRPr="0052129A">
        <w:rPr>
          <w:rFonts w:asciiTheme="majorHAnsi" w:hAnsiTheme="majorHAnsi" w:cstheme="majorHAnsi"/>
          <w:color w:val="000000" w:themeColor="text1"/>
          <w:lang w:val="en-US"/>
        </w:rPr>
        <w:t>‘Parliamentary Questions’ (10 March 2020) &lt;</w:t>
      </w:r>
      <w:hyperlink r:id="rId26" w:history="1">
        <w:r w:rsidRPr="0052129A">
          <w:rPr>
            <w:rFonts w:asciiTheme="majorHAnsi" w:hAnsiTheme="majorHAnsi" w:cstheme="majorHAnsi"/>
            <w:color w:val="000000" w:themeColor="text1"/>
            <w:u w:val="single"/>
            <w:lang w:val="en-US"/>
          </w:rPr>
          <w:t>www.europarl.europa.eu/doceo/document/P-9-2019-004437-ASW_EN.html</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29 April 2020.</w:t>
      </w:r>
    </w:p>
    <w:p w:rsidR="00A33DF2" w:rsidRPr="0052129A" w:rsidRDefault="00A33DF2" w:rsidP="0052129A">
      <w:pPr>
        <w:jc w:val="both"/>
        <w:rPr>
          <w:rFonts w:asciiTheme="majorHAnsi" w:eastAsiaTheme="majorEastAsia" w:hAnsiTheme="majorHAnsi" w:cstheme="majorHAnsi"/>
          <w:color w:val="000000" w:themeColor="text1"/>
          <w:lang w:val="en-US"/>
        </w:rPr>
      </w:pPr>
    </w:p>
    <w:p w:rsidR="00A33DF2" w:rsidRPr="0052129A" w:rsidRDefault="00A33DF2" w:rsidP="0052129A">
      <w:pPr>
        <w:jc w:val="both"/>
        <w:rPr>
          <w:rFonts w:asciiTheme="majorHAnsi" w:eastAsiaTheme="majorEastAsia" w:hAnsiTheme="majorHAnsi" w:cstheme="majorHAnsi"/>
          <w:color w:val="000000" w:themeColor="text1"/>
          <w:lang w:val="en-US"/>
        </w:rPr>
      </w:pPr>
      <w:r w:rsidRPr="0052129A">
        <w:rPr>
          <w:rFonts w:asciiTheme="majorHAnsi" w:hAnsiTheme="majorHAnsi" w:cstheme="majorHAnsi"/>
          <w:color w:val="000000" w:themeColor="text1"/>
          <w:lang w:val="en-US"/>
        </w:rPr>
        <w:t>The European Union, ‘European Initiative for Media Pluralism’ &lt;</w:t>
      </w:r>
      <w:hyperlink r:id="rId27" w:history="1">
        <w:r w:rsidRPr="0052129A">
          <w:rPr>
            <w:rFonts w:asciiTheme="majorHAnsi" w:hAnsiTheme="majorHAnsi" w:cstheme="majorHAnsi"/>
            <w:color w:val="000000" w:themeColor="text1"/>
            <w:u w:val="single"/>
            <w:lang w:val="en-US"/>
          </w:rPr>
          <w:t>https://europa.eu/citizens-initiative/initiatives/details/2013/000007_en</w:t>
        </w:r>
      </w:hyperlink>
      <w:r w:rsidRPr="0052129A">
        <w:rPr>
          <w:rFonts w:asciiTheme="majorHAnsi" w:hAnsiTheme="majorHAnsi" w:cstheme="majorHAnsi"/>
          <w:color w:val="000000" w:themeColor="text1"/>
          <w:lang w:val="en-US"/>
        </w:rPr>
        <w:t xml:space="preserve">&gt; accessed </w:t>
      </w:r>
      <w:r w:rsidRPr="0052129A">
        <w:rPr>
          <w:rFonts w:asciiTheme="majorHAnsi" w:eastAsiaTheme="majorEastAsia" w:hAnsiTheme="majorHAnsi" w:cstheme="majorHAnsi"/>
          <w:color w:val="000000" w:themeColor="text1"/>
          <w:lang w:val="en-US"/>
        </w:rPr>
        <w:t>26 April 2020.</w:t>
      </w:r>
    </w:p>
    <w:p w:rsidR="002B3F59" w:rsidRPr="0052129A" w:rsidRDefault="002B3F59" w:rsidP="0052129A">
      <w:pPr>
        <w:jc w:val="both"/>
        <w:rPr>
          <w:rFonts w:asciiTheme="majorHAnsi" w:hAnsiTheme="majorHAnsi" w:cstheme="majorHAnsi"/>
          <w:lang w:val="en-US"/>
        </w:rPr>
      </w:pPr>
    </w:p>
    <w:p w:rsidR="00FF6355" w:rsidRPr="00C54D3A" w:rsidRDefault="00FF6355" w:rsidP="00FF6355">
      <w:pPr>
        <w:spacing w:line="360" w:lineRule="auto"/>
        <w:jc w:val="both"/>
        <w:rPr>
          <w:lang w:val="en-US"/>
        </w:rPr>
      </w:pPr>
    </w:p>
    <w:sectPr w:rsidR="00FF6355" w:rsidRPr="00C54D3A" w:rsidSect="005F4C2E">
      <w:footerReference w:type="default" r:id="rId28"/>
      <w:pgSz w:w="11900" w:h="16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E1F" w:rsidRDefault="00C04E1F" w:rsidP="00E11E7F">
      <w:r>
        <w:separator/>
      </w:r>
    </w:p>
  </w:endnote>
  <w:endnote w:type="continuationSeparator" w:id="0">
    <w:p w:rsidR="00C04E1F" w:rsidRDefault="00C04E1F" w:rsidP="00E1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38944465"/>
      <w:docPartObj>
        <w:docPartGallery w:val="Page Numbers (Bottom of Page)"/>
        <w:docPartUnique/>
      </w:docPartObj>
    </w:sdtPr>
    <w:sdtEndPr>
      <w:rPr>
        <w:rStyle w:val="PageNumber"/>
      </w:rPr>
    </w:sdtEndPr>
    <w:sdtContent>
      <w:p w:rsidR="005F4C2E" w:rsidRDefault="005F4C2E" w:rsidP="005F4C2E">
        <w:pPr>
          <w:pStyle w:val="Footer"/>
          <w:framePr w:wrap="none" w:vAnchor="text" w:hAnchor="margin" w:xAlign="right" w:y="1"/>
          <w:jc w:val="right"/>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F4C2E" w:rsidRPr="00B8075A" w:rsidRDefault="005F4C2E" w:rsidP="005F4C2E">
    <w:pPr>
      <w:pStyle w:val="Footer"/>
      <w:framePr w:wrap="none" w:vAnchor="text" w:hAnchor="margin" w:xAlign="right" w:y="1"/>
      <w:ind w:right="360"/>
      <w:rPr>
        <w:rStyle w:val="PageNumber"/>
        <w:color w:val="000000" w:themeColor="text1"/>
      </w:rPr>
    </w:pPr>
  </w:p>
  <w:p w:rsidR="005F4C2E" w:rsidRDefault="005F4C2E" w:rsidP="005F4C2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E1F" w:rsidRDefault="00C04E1F" w:rsidP="00E11E7F">
      <w:r>
        <w:separator/>
      </w:r>
    </w:p>
  </w:footnote>
  <w:footnote w:type="continuationSeparator" w:id="0">
    <w:p w:rsidR="00C04E1F" w:rsidRDefault="00C04E1F" w:rsidP="00E11E7F">
      <w:r>
        <w:continuationSeparator/>
      </w:r>
    </w:p>
  </w:footnote>
  <w:footnote w:id="1">
    <w:p w:rsidR="005F4C2E" w:rsidRPr="00F51291" w:rsidRDefault="005F4C2E" w:rsidP="006C25CE">
      <w:pPr>
        <w:spacing w:after="120"/>
        <w:jc w:val="both"/>
        <w:rPr>
          <w:rFonts w:asciiTheme="majorHAnsi" w:hAnsiTheme="majorHAnsi" w:cstheme="majorHAnsi"/>
          <w:color w:val="000000" w:themeColor="text1"/>
          <w:sz w:val="20"/>
          <w:szCs w:val="20"/>
          <w:lang w:val="en-US"/>
        </w:rPr>
      </w:pPr>
      <w:r w:rsidRPr="00F51291">
        <w:rPr>
          <w:rStyle w:val="FootnoteReference"/>
          <w:rFonts w:asciiTheme="majorHAnsi" w:hAnsiTheme="majorHAnsi" w:cstheme="majorHAnsi"/>
          <w:color w:val="000000" w:themeColor="text1"/>
          <w:sz w:val="20"/>
          <w:szCs w:val="20"/>
          <w:lang w:val="en-US"/>
        </w:rPr>
        <w:footnoteRef/>
      </w:r>
      <w:r w:rsidRPr="00F51291">
        <w:rPr>
          <w:rFonts w:asciiTheme="majorHAnsi" w:hAnsiTheme="majorHAnsi" w:cstheme="majorHAnsi"/>
          <w:color w:val="000000" w:themeColor="text1"/>
          <w:sz w:val="20"/>
          <w:szCs w:val="20"/>
          <w:lang w:val="en-US"/>
        </w:rPr>
        <w:t xml:space="preserve"> ‘the fourth estate, n.’ (</w:t>
      </w:r>
      <w:r w:rsidRPr="00F51291">
        <w:rPr>
          <w:rFonts w:asciiTheme="majorHAnsi" w:hAnsiTheme="majorHAnsi" w:cstheme="majorHAnsi"/>
          <w:i/>
          <w:color w:val="000000" w:themeColor="text1"/>
          <w:sz w:val="20"/>
          <w:szCs w:val="20"/>
          <w:lang w:val="en-US"/>
        </w:rPr>
        <w:t>OED Online</w:t>
      </w:r>
      <w:r w:rsidRPr="00F51291">
        <w:rPr>
          <w:rFonts w:asciiTheme="majorHAnsi" w:hAnsiTheme="majorHAnsi" w:cstheme="majorHAnsi"/>
          <w:color w:val="000000" w:themeColor="text1"/>
          <w:sz w:val="20"/>
          <w:szCs w:val="20"/>
          <w:lang w:val="en-US"/>
        </w:rPr>
        <w:t xml:space="preserve">, OUP March 2020). See on the origin of the term Slavko Splichal, </w:t>
      </w:r>
      <w:r w:rsidRPr="00F51291">
        <w:rPr>
          <w:rFonts w:asciiTheme="majorHAnsi" w:hAnsiTheme="majorHAnsi" w:cstheme="majorHAnsi"/>
          <w:i/>
          <w:color w:val="000000" w:themeColor="text1"/>
          <w:sz w:val="20"/>
          <w:szCs w:val="20"/>
          <w:lang w:val="en-US"/>
        </w:rPr>
        <w:t>Principles of Publicity and Press Freedom</w:t>
      </w:r>
      <w:r w:rsidRPr="00F51291">
        <w:rPr>
          <w:rFonts w:asciiTheme="majorHAnsi" w:hAnsiTheme="majorHAnsi" w:cstheme="majorHAnsi"/>
          <w:color w:val="000000" w:themeColor="text1"/>
          <w:sz w:val="20"/>
          <w:szCs w:val="20"/>
          <w:lang w:val="en-US"/>
        </w:rPr>
        <w:t xml:space="preserve"> (Rowman &amp; Littlefield Publishers 2002) 44.</w:t>
      </w:r>
    </w:p>
  </w:footnote>
  <w:footnote w:id="2">
    <w:p w:rsidR="005F4C2E" w:rsidRPr="00F51291" w:rsidRDefault="005F4C2E" w:rsidP="00122735">
      <w:pPr>
        <w:pStyle w:val="FootnoteText"/>
        <w:spacing w:before="120" w:after="120"/>
        <w:jc w:val="both"/>
        <w:rPr>
          <w:rFonts w:asciiTheme="majorHAnsi" w:hAnsiTheme="majorHAnsi" w:cstheme="majorHAnsi"/>
          <w:color w:val="000000" w:themeColor="text1"/>
          <w:lang w:val="en-US"/>
        </w:rPr>
      </w:pPr>
      <w:r w:rsidRPr="00F51291">
        <w:rPr>
          <w:rStyle w:val="FootnoteReference"/>
          <w:rFonts w:asciiTheme="majorHAnsi" w:hAnsiTheme="majorHAnsi" w:cstheme="majorHAnsi"/>
          <w:color w:val="000000" w:themeColor="text1"/>
          <w:lang w:val="en-US"/>
        </w:rPr>
        <w:footnoteRef/>
      </w:r>
      <w:r w:rsidRPr="00F51291">
        <w:rPr>
          <w:rFonts w:asciiTheme="majorHAnsi" w:hAnsiTheme="majorHAnsi" w:cstheme="majorHAnsi"/>
          <w:color w:val="000000" w:themeColor="text1"/>
          <w:lang w:val="en-US"/>
        </w:rPr>
        <w:t xml:space="preserve"> Jan Oster, </w:t>
      </w:r>
      <w:r w:rsidRPr="00F51291">
        <w:rPr>
          <w:rFonts w:asciiTheme="majorHAnsi" w:hAnsiTheme="majorHAnsi" w:cstheme="majorHAnsi"/>
          <w:i/>
          <w:color w:val="000000" w:themeColor="text1"/>
          <w:lang w:val="en-US"/>
        </w:rPr>
        <w:t xml:space="preserve">Media Freedom as a Fundamental Right </w:t>
      </w:r>
      <w:r w:rsidRPr="00F51291">
        <w:rPr>
          <w:rFonts w:asciiTheme="majorHAnsi" w:hAnsiTheme="majorHAnsi" w:cstheme="majorHAnsi"/>
          <w:color w:val="000000" w:themeColor="text1"/>
          <w:lang w:val="en-US"/>
        </w:rPr>
        <w:t>(Cambridge University Press 2015) 1.</w:t>
      </w:r>
    </w:p>
  </w:footnote>
  <w:footnote w:id="3">
    <w:p w:rsidR="005F4C2E" w:rsidRPr="00F51291" w:rsidRDefault="005F4C2E" w:rsidP="00122735">
      <w:pPr>
        <w:spacing w:before="120" w:after="120"/>
        <w:jc w:val="both"/>
        <w:rPr>
          <w:rFonts w:asciiTheme="majorHAnsi" w:hAnsiTheme="majorHAnsi" w:cstheme="majorHAnsi"/>
          <w:color w:val="000000" w:themeColor="text1"/>
          <w:sz w:val="20"/>
          <w:szCs w:val="20"/>
          <w:lang w:val="en-US"/>
        </w:rPr>
      </w:pPr>
      <w:r w:rsidRPr="00F51291">
        <w:rPr>
          <w:rStyle w:val="FootnoteReference"/>
          <w:rFonts w:asciiTheme="majorHAnsi" w:hAnsiTheme="majorHAnsi" w:cstheme="majorHAnsi"/>
          <w:color w:val="000000" w:themeColor="text1"/>
          <w:sz w:val="20"/>
          <w:szCs w:val="20"/>
          <w:lang w:val="en-US"/>
        </w:rPr>
        <w:footnoteRef/>
      </w:r>
      <w:r w:rsidRPr="00F51291">
        <w:rPr>
          <w:rFonts w:asciiTheme="majorHAnsi" w:hAnsiTheme="majorHAnsi" w:cstheme="majorHAnsi"/>
          <w:color w:val="000000" w:themeColor="text1"/>
          <w:sz w:val="20"/>
          <w:szCs w:val="20"/>
          <w:lang w:val="en-US"/>
        </w:rPr>
        <w:t xml:space="preserve"> The European Commission (EC), ‘Media Freedom and Pluralism’ &lt;</w:t>
      </w:r>
      <w:hyperlink r:id="rId1" w:history="1">
        <w:r w:rsidRPr="00F51291">
          <w:rPr>
            <w:rStyle w:val="Hyperlink"/>
            <w:rFonts w:asciiTheme="majorHAnsi" w:eastAsiaTheme="majorEastAsia" w:hAnsiTheme="majorHAnsi" w:cstheme="majorHAnsi"/>
            <w:color w:val="000000" w:themeColor="text1"/>
            <w:sz w:val="20"/>
            <w:szCs w:val="20"/>
            <w:lang w:val="en-US"/>
          </w:rPr>
          <w:t>https://ec.europa.eu/digital-single-market/en/policies/media-freedom-and-pluralism</w:t>
        </w:r>
      </w:hyperlink>
      <w:r w:rsidRPr="00F51291">
        <w:rPr>
          <w:rFonts w:asciiTheme="majorHAnsi" w:hAnsiTheme="majorHAnsi" w:cstheme="majorHAnsi"/>
          <w:color w:val="000000" w:themeColor="text1"/>
          <w:sz w:val="20"/>
          <w:szCs w:val="20"/>
          <w:lang w:val="en-US"/>
        </w:rPr>
        <w:t xml:space="preserve">&gt; accessed </w:t>
      </w:r>
      <w:r w:rsidRPr="00F51291">
        <w:rPr>
          <w:rFonts w:asciiTheme="majorHAnsi" w:eastAsiaTheme="majorEastAsia" w:hAnsiTheme="majorHAnsi" w:cstheme="majorHAnsi"/>
          <w:color w:val="000000" w:themeColor="text1"/>
          <w:sz w:val="20"/>
          <w:szCs w:val="20"/>
          <w:lang w:val="en-US"/>
        </w:rPr>
        <w:t>25 April 2020.</w:t>
      </w:r>
    </w:p>
  </w:footnote>
  <w:footnote w:id="4">
    <w:p w:rsidR="005F4C2E" w:rsidRPr="00F51291" w:rsidRDefault="005F4C2E" w:rsidP="00122735">
      <w:pPr>
        <w:pStyle w:val="FootnoteText"/>
        <w:spacing w:before="120" w:after="120"/>
        <w:jc w:val="both"/>
        <w:rPr>
          <w:color w:val="000000" w:themeColor="text1"/>
        </w:rPr>
      </w:pPr>
      <w:r w:rsidRPr="00F51291">
        <w:rPr>
          <w:rStyle w:val="FootnoteReference"/>
          <w:rFonts w:asciiTheme="majorHAnsi" w:hAnsiTheme="majorHAnsi" w:cstheme="majorHAnsi"/>
          <w:color w:val="000000" w:themeColor="text1"/>
          <w:lang w:val="en-US"/>
        </w:rPr>
        <w:footnoteRef/>
      </w:r>
      <w:r w:rsidRPr="00F51291">
        <w:rPr>
          <w:rFonts w:asciiTheme="majorHAnsi" w:hAnsiTheme="majorHAnsi" w:cstheme="majorHAnsi"/>
          <w:color w:val="000000" w:themeColor="text1"/>
          <w:lang w:val="en-US"/>
        </w:rPr>
        <w:t xml:space="preserve"> Hannah Arendt, </w:t>
      </w:r>
      <w:r w:rsidRPr="00F51291">
        <w:rPr>
          <w:rFonts w:asciiTheme="majorHAnsi" w:hAnsiTheme="majorHAnsi" w:cstheme="majorHAnsi"/>
          <w:i/>
          <w:color w:val="000000" w:themeColor="text1"/>
          <w:lang w:val="en-US"/>
        </w:rPr>
        <w:t xml:space="preserve">Thinking Without a Banister </w:t>
      </w:r>
      <w:r w:rsidRPr="00F51291">
        <w:rPr>
          <w:rFonts w:asciiTheme="majorHAnsi" w:hAnsiTheme="majorHAnsi" w:cstheme="majorHAnsi"/>
          <w:color w:val="000000" w:themeColor="text1"/>
          <w:lang w:val="en-US"/>
        </w:rPr>
        <w:t>(Edited by Jerome Kohn, Schocken Books 2018) 491.</w:t>
      </w:r>
    </w:p>
  </w:footnote>
  <w:footnote w:id="5">
    <w:p w:rsidR="005F4C2E" w:rsidRPr="00F51291" w:rsidRDefault="005F4C2E" w:rsidP="00122735">
      <w:pPr>
        <w:pStyle w:val="FootnoteText"/>
        <w:spacing w:before="120" w:after="120"/>
        <w:jc w:val="both"/>
        <w:rPr>
          <w:color w:val="000000" w:themeColor="text1"/>
          <w:lang w:val="en-US"/>
        </w:rPr>
      </w:pPr>
      <w:r w:rsidRPr="00F51291">
        <w:rPr>
          <w:rStyle w:val="FootnoteReference"/>
          <w:color w:val="000000" w:themeColor="text1"/>
          <w:lang w:val="en-US"/>
        </w:rPr>
        <w:footnoteRef/>
      </w:r>
      <w:r w:rsidRPr="00F51291">
        <w:rPr>
          <w:color w:val="000000" w:themeColor="text1"/>
          <w:lang w:val="en-US"/>
        </w:rPr>
        <w:t xml:space="preserve"> Oster ‘Media Freedom’ (n 2) 257-258.</w:t>
      </w:r>
    </w:p>
  </w:footnote>
  <w:footnote w:id="6">
    <w:p w:rsidR="005F4C2E" w:rsidRPr="00335629" w:rsidRDefault="005F4C2E" w:rsidP="00122735">
      <w:pPr>
        <w:pStyle w:val="FootnoteText"/>
        <w:spacing w:before="120" w:after="120"/>
        <w:jc w:val="both"/>
        <w:rPr>
          <w:rFonts w:asciiTheme="majorHAnsi" w:hAnsiTheme="majorHAnsi" w:cstheme="majorHAnsi"/>
          <w:color w:val="000000" w:themeColor="text1"/>
          <w:lang w:val="en-US"/>
        </w:rPr>
      </w:pPr>
      <w:r w:rsidRPr="00F51291">
        <w:rPr>
          <w:rStyle w:val="FootnoteReference"/>
          <w:rFonts w:asciiTheme="majorHAnsi" w:hAnsiTheme="majorHAnsi" w:cstheme="majorHAnsi"/>
          <w:color w:val="000000" w:themeColor="text1"/>
          <w:lang w:val="en-US"/>
        </w:rPr>
        <w:footnoteRef/>
      </w:r>
      <w:r w:rsidRPr="00F51291">
        <w:rPr>
          <w:rFonts w:asciiTheme="majorHAnsi" w:hAnsiTheme="majorHAnsi" w:cstheme="majorHAnsi"/>
          <w:color w:val="000000" w:themeColor="text1"/>
          <w:lang w:val="en-US"/>
        </w:rPr>
        <w:t xml:space="preserve"> Ewa Komorek, </w:t>
      </w:r>
      <w:r w:rsidRPr="00F51291">
        <w:rPr>
          <w:rFonts w:asciiTheme="majorHAnsi" w:hAnsiTheme="majorHAnsi" w:cstheme="majorHAnsi"/>
          <w:i/>
          <w:color w:val="000000" w:themeColor="text1"/>
          <w:lang w:val="en-US"/>
        </w:rPr>
        <w:t>Media Pluralism and European Law</w:t>
      </w:r>
      <w:r w:rsidRPr="00F51291">
        <w:rPr>
          <w:rFonts w:asciiTheme="majorHAnsi" w:hAnsiTheme="majorHAnsi" w:cstheme="majorHAnsi"/>
          <w:color w:val="000000" w:themeColor="text1"/>
          <w:lang w:val="en-US"/>
        </w:rPr>
        <w:t xml:space="preserve"> (Kluwer Law International 2013) 4.</w:t>
      </w:r>
    </w:p>
  </w:footnote>
  <w:footnote w:id="7">
    <w:p w:rsidR="005F4C2E" w:rsidRPr="009B002E" w:rsidRDefault="005F4C2E" w:rsidP="006C25CE">
      <w:pPr>
        <w:pStyle w:val="FootnoteText"/>
        <w:spacing w:after="120"/>
        <w:jc w:val="both"/>
        <w:rPr>
          <w:rFonts w:asciiTheme="majorHAnsi" w:hAnsiTheme="majorHAnsi" w:cstheme="majorHAnsi"/>
          <w:color w:val="000000" w:themeColor="text1"/>
          <w:lang w:val="en-US"/>
        </w:rPr>
      </w:pPr>
      <w:r w:rsidRPr="009B002E">
        <w:rPr>
          <w:rStyle w:val="FootnoteReference"/>
          <w:color w:val="000000" w:themeColor="text1"/>
        </w:rPr>
        <w:footnoteRef/>
      </w:r>
      <w:r w:rsidRPr="009B002E">
        <w:rPr>
          <w:color w:val="000000" w:themeColor="text1"/>
        </w:rPr>
        <w:t xml:space="preserve"> </w:t>
      </w:r>
      <w:r w:rsidRPr="009B002E">
        <w:rPr>
          <w:rFonts w:asciiTheme="majorHAnsi" w:hAnsiTheme="majorHAnsi" w:cstheme="majorHAnsi"/>
          <w:color w:val="000000" w:themeColor="text1"/>
          <w:lang w:val="en-US"/>
        </w:rPr>
        <w:t xml:space="preserve">Alison Harcourt, ‘Media Plurality: What Can the EU Do?’ in Steven Barnett and Judith Townend (eds.), </w:t>
      </w:r>
      <w:r w:rsidRPr="009B002E">
        <w:rPr>
          <w:rFonts w:asciiTheme="majorHAnsi" w:hAnsiTheme="majorHAnsi" w:cstheme="majorHAnsi"/>
          <w:i/>
          <w:color w:val="000000" w:themeColor="text1"/>
          <w:lang w:val="en-US"/>
        </w:rPr>
        <w:t>Media Power and Plurality</w:t>
      </w:r>
      <w:r w:rsidRPr="009B002E">
        <w:rPr>
          <w:rFonts w:asciiTheme="majorHAnsi" w:hAnsiTheme="majorHAnsi" w:cstheme="majorHAnsi"/>
          <w:color w:val="000000" w:themeColor="text1"/>
          <w:lang w:val="en-US"/>
        </w:rPr>
        <w:t xml:space="preserve"> (PGMPB 2015) 131.</w:t>
      </w:r>
    </w:p>
  </w:footnote>
  <w:footnote w:id="8">
    <w:p w:rsidR="005F4C2E" w:rsidRPr="009B002E" w:rsidRDefault="005F4C2E" w:rsidP="004E3253">
      <w:pPr>
        <w:pStyle w:val="FootnoteText"/>
        <w:spacing w:before="120" w:after="120"/>
        <w:jc w:val="both"/>
        <w:rPr>
          <w:color w:val="000000" w:themeColor="text1"/>
        </w:rPr>
      </w:pPr>
      <w:r w:rsidRPr="009B002E">
        <w:rPr>
          <w:rStyle w:val="FootnoteReference"/>
          <w:color w:val="000000" w:themeColor="text1"/>
        </w:rPr>
        <w:footnoteRef/>
      </w:r>
      <w:r w:rsidRPr="009B002E">
        <w:rPr>
          <w:color w:val="000000" w:themeColor="text1"/>
        </w:rPr>
        <w:t xml:space="preserve"> </w:t>
      </w:r>
      <w:r w:rsidRPr="009B002E">
        <w:rPr>
          <w:color w:val="000000" w:themeColor="text1"/>
          <w:lang w:val="en-US"/>
        </w:rPr>
        <w:t xml:space="preserve">Armando Garcia Pires, ‘Media Pluralism and Competition’ </w:t>
      </w:r>
      <w:r w:rsidRPr="009B002E">
        <w:rPr>
          <w:rFonts w:asciiTheme="majorHAnsi" w:hAnsiTheme="majorHAnsi" w:cstheme="majorHAnsi"/>
          <w:color w:val="000000" w:themeColor="text1"/>
          <w:lang w:val="en-US"/>
        </w:rPr>
        <w:t>[2017] 43 EJLE 260.</w:t>
      </w:r>
    </w:p>
  </w:footnote>
  <w:footnote w:id="9">
    <w:p w:rsidR="005F4C2E" w:rsidRPr="009B002E" w:rsidRDefault="005F4C2E" w:rsidP="004E3253">
      <w:pPr>
        <w:pStyle w:val="FootnoteText"/>
        <w:spacing w:before="120" w:after="120"/>
        <w:jc w:val="both"/>
        <w:rPr>
          <w:color w:val="000000" w:themeColor="text1"/>
        </w:rPr>
      </w:pPr>
      <w:r w:rsidRPr="009B002E">
        <w:rPr>
          <w:rStyle w:val="FootnoteReference"/>
          <w:color w:val="000000" w:themeColor="text1"/>
        </w:rPr>
        <w:footnoteRef/>
      </w:r>
      <w:r w:rsidRPr="009B002E">
        <w:rPr>
          <w:color w:val="000000" w:themeColor="text1"/>
        </w:rPr>
        <w:t xml:space="preserve"> </w:t>
      </w:r>
      <w:r w:rsidRPr="009B002E">
        <w:rPr>
          <w:rFonts w:asciiTheme="majorHAnsi" w:hAnsiTheme="majorHAnsi" w:cstheme="majorHAnsi"/>
          <w:color w:val="000000" w:themeColor="text1"/>
          <w:lang w:val="en-US"/>
        </w:rPr>
        <w:t>Charter of Fundamental Rights of the European Union [2012] OJ C 326.</w:t>
      </w:r>
    </w:p>
  </w:footnote>
  <w:footnote w:id="10">
    <w:p w:rsidR="005F4C2E" w:rsidRPr="009B002E" w:rsidRDefault="005F4C2E" w:rsidP="004E3253">
      <w:pPr>
        <w:pStyle w:val="FootnoteText"/>
        <w:spacing w:before="120" w:after="120"/>
        <w:jc w:val="both"/>
        <w:rPr>
          <w:color w:val="000000" w:themeColor="text1"/>
        </w:rPr>
      </w:pPr>
      <w:r w:rsidRPr="009B002E">
        <w:rPr>
          <w:rStyle w:val="FootnoteReference"/>
          <w:color w:val="000000" w:themeColor="text1"/>
        </w:rPr>
        <w:footnoteRef/>
      </w:r>
      <w:r w:rsidRPr="009B002E">
        <w:rPr>
          <w:color w:val="000000" w:themeColor="text1"/>
        </w:rPr>
        <w:t xml:space="preserve"> </w:t>
      </w:r>
      <w:r w:rsidRPr="009B002E">
        <w:rPr>
          <w:rFonts w:asciiTheme="majorHAnsi" w:hAnsiTheme="majorHAnsi" w:cstheme="majorHAnsi"/>
          <w:color w:val="000000" w:themeColor="text1"/>
          <w:shd w:val="clear" w:color="auto" w:fill="FFFFFF"/>
          <w:lang w:val="en-US"/>
        </w:rPr>
        <w:t xml:space="preserve">Directive 2010/13/EU of 10 March 2010 on the coordination of certain provisions laid down by law, regulation or administrative action in Member States concerning the provision of audiovisual media services (codified version) </w:t>
      </w:r>
      <w:r w:rsidRPr="009B002E">
        <w:rPr>
          <w:rFonts w:asciiTheme="majorHAnsi" w:hAnsiTheme="majorHAnsi" w:cstheme="majorHAnsi"/>
          <w:color w:val="000000" w:themeColor="text1"/>
          <w:lang w:val="en-US"/>
        </w:rPr>
        <w:t>[2010] OJ L 95.</w:t>
      </w:r>
    </w:p>
  </w:footnote>
  <w:footnote w:id="11">
    <w:p w:rsidR="005F4C2E" w:rsidRPr="009B002E" w:rsidRDefault="005F4C2E" w:rsidP="004E3253">
      <w:pPr>
        <w:pStyle w:val="FootnoteText"/>
        <w:spacing w:before="120" w:after="120"/>
        <w:jc w:val="both"/>
        <w:rPr>
          <w:color w:val="000000" w:themeColor="text1"/>
          <w:lang w:val="en-US"/>
        </w:rPr>
      </w:pPr>
      <w:r w:rsidRPr="009B002E">
        <w:rPr>
          <w:rStyle w:val="FootnoteReference"/>
          <w:color w:val="000000" w:themeColor="text1"/>
          <w:lang w:val="en-US"/>
        </w:rPr>
        <w:footnoteRef/>
      </w:r>
      <w:r w:rsidRPr="009B002E">
        <w:rPr>
          <w:color w:val="000000" w:themeColor="text1"/>
          <w:lang w:val="en-US"/>
        </w:rPr>
        <w:t xml:space="preserve"> Komorek (n 6) 29-30. </w:t>
      </w:r>
    </w:p>
  </w:footnote>
  <w:footnote w:id="12">
    <w:p w:rsidR="005F4C2E" w:rsidRPr="009B002E" w:rsidRDefault="005F4C2E" w:rsidP="004E3253">
      <w:pPr>
        <w:pStyle w:val="FootnoteText"/>
        <w:spacing w:before="120" w:after="120"/>
        <w:jc w:val="both"/>
        <w:rPr>
          <w:color w:val="000000" w:themeColor="text1"/>
          <w:lang w:val="en-US"/>
        </w:rPr>
      </w:pPr>
      <w:r w:rsidRPr="009B002E">
        <w:rPr>
          <w:rStyle w:val="FootnoteReference"/>
          <w:color w:val="000000" w:themeColor="text1"/>
          <w:lang w:val="en-US"/>
        </w:rPr>
        <w:footnoteRef/>
      </w:r>
      <w:r w:rsidRPr="009B002E">
        <w:rPr>
          <w:color w:val="000000" w:themeColor="text1"/>
          <w:lang w:val="en-US"/>
        </w:rPr>
        <w:t xml:space="preserve"> See Cinzia Padovani, ‘</w:t>
      </w:r>
      <w:r w:rsidRPr="009B002E">
        <w:rPr>
          <w:rFonts w:asciiTheme="majorHAnsi" w:hAnsiTheme="majorHAnsi" w:cstheme="majorHAnsi"/>
          <w:color w:val="000000" w:themeColor="text1"/>
          <w:lang w:val="en-US"/>
        </w:rPr>
        <w:t>Berlusconi’s Italy: the media between structure and agency’ [2015] 20(1) MI 41-42.</w:t>
      </w:r>
    </w:p>
  </w:footnote>
  <w:footnote w:id="13">
    <w:p w:rsidR="005F4C2E" w:rsidRPr="009B002E" w:rsidRDefault="005F4C2E" w:rsidP="004E3253">
      <w:pPr>
        <w:pStyle w:val="FootnoteText"/>
        <w:spacing w:before="120" w:after="120"/>
        <w:jc w:val="both"/>
        <w:rPr>
          <w:color w:val="000000" w:themeColor="text1"/>
          <w:lang w:val="en-US"/>
        </w:rPr>
      </w:pPr>
      <w:r w:rsidRPr="009B002E">
        <w:rPr>
          <w:rStyle w:val="FootnoteReference"/>
          <w:color w:val="000000" w:themeColor="text1"/>
          <w:lang w:val="en-US"/>
        </w:rPr>
        <w:footnoteRef/>
      </w:r>
      <w:r w:rsidRPr="009B002E">
        <w:rPr>
          <w:color w:val="000000" w:themeColor="text1"/>
          <w:lang w:val="en-US"/>
        </w:rPr>
        <w:t xml:space="preserve"> Pires (n 8)</w:t>
      </w:r>
      <w:r w:rsidRPr="009B002E">
        <w:rPr>
          <w:rFonts w:asciiTheme="majorHAnsi" w:hAnsiTheme="majorHAnsi" w:cstheme="majorHAnsi"/>
          <w:color w:val="000000" w:themeColor="text1"/>
          <w:lang w:val="en-US"/>
        </w:rPr>
        <w:t xml:space="preserve"> 262.</w:t>
      </w:r>
    </w:p>
  </w:footnote>
  <w:footnote w:id="14">
    <w:p w:rsidR="005F4C2E" w:rsidRPr="005E0905" w:rsidRDefault="005F4C2E" w:rsidP="004E3253">
      <w:pPr>
        <w:pStyle w:val="FootnoteText"/>
        <w:spacing w:before="120" w:after="120"/>
        <w:jc w:val="both"/>
        <w:rPr>
          <w:color w:val="000000" w:themeColor="text1"/>
          <w:lang w:val="en-US"/>
        </w:rPr>
      </w:pPr>
      <w:r w:rsidRPr="009B002E">
        <w:rPr>
          <w:rStyle w:val="FootnoteReference"/>
          <w:color w:val="000000" w:themeColor="text1"/>
          <w:lang w:val="en-US"/>
        </w:rPr>
        <w:footnoteRef/>
      </w:r>
      <w:r w:rsidRPr="009B002E">
        <w:rPr>
          <w:color w:val="000000" w:themeColor="text1"/>
          <w:lang w:val="en-US"/>
        </w:rPr>
        <w:t xml:space="preserve"> Komorek (n 6) 42.</w:t>
      </w:r>
    </w:p>
  </w:footnote>
  <w:footnote w:id="15">
    <w:p w:rsidR="005F4C2E" w:rsidRPr="00F51291" w:rsidRDefault="005F4C2E" w:rsidP="006C25CE">
      <w:pPr>
        <w:pStyle w:val="FootnoteText"/>
        <w:spacing w:after="120"/>
        <w:jc w:val="both"/>
        <w:rPr>
          <w:color w:val="000000" w:themeColor="text1"/>
          <w:lang w:val="en-US"/>
        </w:rPr>
      </w:pPr>
      <w:r w:rsidRPr="00F51291">
        <w:rPr>
          <w:rStyle w:val="FootnoteReference"/>
          <w:color w:val="000000" w:themeColor="text1"/>
          <w:lang w:val="en-US"/>
        </w:rPr>
        <w:footnoteRef/>
      </w:r>
      <w:r w:rsidRPr="00F51291">
        <w:rPr>
          <w:color w:val="000000" w:themeColor="text1"/>
          <w:lang w:val="en-US"/>
        </w:rPr>
        <w:t xml:space="preserve"> Pires (n 8) 262; Komorek (n 6) 88. </w:t>
      </w:r>
    </w:p>
  </w:footnote>
  <w:footnote w:id="16">
    <w:p w:rsidR="005F4C2E" w:rsidRPr="00F51291" w:rsidRDefault="005F4C2E" w:rsidP="00E40FED">
      <w:pPr>
        <w:spacing w:before="120" w:after="120"/>
        <w:jc w:val="both"/>
        <w:rPr>
          <w:color w:val="000000" w:themeColor="text1"/>
          <w:sz w:val="20"/>
          <w:szCs w:val="20"/>
          <w:lang w:val="en-US"/>
        </w:rPr>
      </w:pPr>
      <w:r w:rsidRPr="00F51291">
        <w:rPr>
          <w:rStyle w:val="FootnoteReference"/>
          <w:color w:val="000000" w:themeColor="text1"/>
          <w:sz w:val="20"/>
          <w:szCs w:val="20"/>
          <w:lang w:val="en-US"/>
        </w:rPr>
        <w:footnoteRef/>
      </w:r>
      <w:r w:rsidRPr="00F51291">
        <w:rPr>
          <w:color w:val="000000" w:themeColor="text1"/>
          <w:sz w:val="20"/>
          <w:szCs w:val="20"/>
          <w:lang w:val="en-US"/>
        </w:rPr>
        <w:t xml:space="preserve"> The Economist, ‘Poland and the EU on the Naughty Step’ (14 January 2016) &lt;</w:t>
      </w:r>
      <w:hyperlink r:id="rId2" w:history="1">
        <w:r w:rsidRPr="00F51291">
          <w:rPr>
            <w:rStyle w:val="Hyperlink"/>
            <w:color w:val="000000" w:themeColor="text1"/>
            <w:sz w:val="20"/>
            <w:szCs w:val="20"/>
            <w:lang w:val="en-US"/>
          </w:rPr>
          <w:t>www.economist.com/europe/2016/01/14/on-the-naughty-step</w:t>
        </w:r>
      </w:hyperlink>
      <w:r w:rsidRPr="00F51291">
        <w:rPr>
          <w:color w:val="000000" w:themeColor="text1"/>
          <w:sz w:val="20"/>
          <w:szCs w:val="20"/>
          <w:lang w:val="en-US"/>
        </w:rPr>
        <w:t xml:space="preserve">&gt; accessed </w:t>
      </w:r>
      <w:r w:rsidRPr="00F51291">
        <w:rPr>
          <w:rFonts w:asciiTheme="majorHAnsi" w:hAnsiTheme="majorHAnsi" w:cstheme="majorHAnsi"/>
          <w:color w:val="000000" w:themeColor="text1"/>
          <w:sz w:val="20"/>
          <w:szCs w:val="20"/>
          <w:lang w:val="en-US"/>
        </w:rPr>
        <w:t>30 April 2020.</w:t>
      </w:r>
    </w:p>
  </w:footnote>
  <w:footnote w:id="17">
    <w:p w:rsidR="005F4C2E" w:rsidRPr="00F51291" w:rsidRDefault="005F4C2E" w:rsidP="00E40FED">
      <w:pPr>
        <w:spacing w:before="120" w:after="120"/>
        <w:jc w:val="both"/>
        <w:rPr>
          <w:color w:val="000000" w:themeColor="text1"/>
          <w:sz w:val="20"/>
          <w:szCs w:val="20"/>
          <w:lang w:val="en-US"/>
        </w:rPr>
      </w:pPr>
      <w:r w:rsidRPr="00F51291">
        <w:rPr>
          <w:rStyle w:val="FootnoteReference"/>
          <w:color w:val="000000" w:themeColor="text1"/>
          <w:sz w:val="20"/>
          <w:szCs w:val="20"/>
          <w:lang w:val="en-US"/>
        </w:rPr>
        <w:footnoteRef/>
      </w:r>
      <w:r w:rsidRPr="00F51291">
        <w:rPr>
          <w:color w:val="000000" w:themeColor="text1"/>
          <w:sz w:val="20"/>
          <w:szCs w:val="20"/>
          <w:lang w:val="en-US"/>
        </w:rPr>
        <w:t xml:space="preserve"> BBC, ‘Phone-hacking trial explained’ (25 June 2014) &lt;</w:t>
      </w:r>
      <w:hyperlink r:id="rId3" w:history="1">
        <w:r w:rsidRPr="00F51291">
          <w:rPr>
            <w:rStyle w:val="Hyperlink"/>
            <w:color w:val="000000" w:themeColor="text1"/>
            <w:sz w:val="20"/>
            <w:szCs w:val="20"/>
            <w:lang w:val="en-US"/>
          </w:rPr>
          <w:t>www.bbc.co.uk/news/uk-24894403</w:t>
        </w:r>
      </w:hyperlink>
      <w:r w:rsidRPr="00F51291">
        <w:rPr>
          <w:color w:val="000000" w:themeColor="text1"/>
          <w:sz w:val="20"/>
          <w:szCs w:val="20"/>
          <w:lang w:val="en-US"/>
        </w:rPr>
        <w:t xml:space="preserve">&gt; accessed </w:t>
      </w:r>
      <w:r w:rsidRPr="00F51291">
        <w:rPr>
          <w:rFonts w:asciiTheme="majorHAnsi" w:hAnsiTheme="majorHAnsi" w:cstheme="majorHAnsi"/>
          <w:color w:val="000000" w:themeColor="text1"/>
          <w:sz w:val="20"/>
          <w:szCs w:val="20"/>
          <w:lang w:val="en-US"/>
        </w:rPr>
        <w:t>30 April 2020.</w:t>
      </w:r>
    </w:p>
  </w:footnote>
  <w:footnote w:id="18">
    <w:p w:rsidR="005F4C2E" w:rsidRPr="00F51291" w:rsidRDefault="005F4C2E" w:rsidP="00E40FED">
      <w:pPr>
        <w:spacing w:before="120" w:after="120"/>
        <w:jc w:val="both"/>
        <w:rPr>
          <w:color w:val="000000" w:themeColor="text1"/>
          <w:sz w:val="20"/>
          <w:szCs w:val="20"/>
          <w:lang w:val="en-US"/>
        </w:rPr>
      </w:pPr>
      <w:r w:rsidRPr="00F51291">
        <w:rPr>
          <w:rStyle w:val="FootnoteReference"/>
          <w:color w:val="000000" w:themeColor="text1"/>
          <w:sz w:val="20"/>
          <w:szCs w:val="20"/>
          <w:lang w:val="en-US"/>
        </w:rPr>
        <w:footnoteRef/>
      </w:r>
      <w:r w:rsidRPr="00F51291">
        <w:rPr>
          <w:color w:val="000000" w:themeColor="text1"/>
          <w:sz w:val="20"/>
          <w:szCs w:val="20"/>
          <w:lang w:val="en-US"/>
        </w:rPr>
        <w:t xml:space="preserve"> EC, ‘HLGMFP’ </w:t>
      </w:r>
      <w:r w:rsidRPr="00F51291">
        <w:rPr>
          <w:rFonts w:asciiTheme="majorHAnsi" w:hAnsiTheme="majorHAnsi" w:cstheme="majorHAnsi"/>
          <w:color w:val="000000" w:themeColor="text1"/>
          <w:sz w:val="20"/>
          <w:szCs w:val="20"/>
          <w:lang w:val="en-US"/>
        </w:rPr>
        <w:t>&lt;</w:t>
      </w:r>
      <w:hyperlink r:id="rId4" w:history="1">
        <w:r w:rsidRPr="00F51291">
          <w:rPr>
            <w:rStyle w:val="Hyperlink"/>
            <w:color w:val="000000" w:themeColor="text1"/>
            <w:sz w:val="20"/>
            <w:szCs w:val="20"/>
            <w:lang w:val="en-US"/>
          </w:rPr>
          <w:t>https://ec.europa.eu/digital-single-market/en/high-level-group-media-freedom-and-pluralism</w:t>
        </w:r>
      </w:hyperlink>
      <w:r w:rsidRPr="00F51291">
        <w:rPr>
          <w:rFonts w:asciiTheme="majorHAnsi" w:hAnsiTheme="majorHAnsi" w:cstheme="majorHAnsi"/>
          <w:color w:val="000000" w:themeColor="text1"/>
          <w:sz w:val="20"/>
          <w:szCs w:val="20"/>
          <w:lang w:val="en-US"/>
        </w:rPr>
        <w:t xml:space="preserve">&gt; accessed </w:t>
      </w:r>
      <w:r w:rsidRPr="00F51291">
        <w:rPr>
          <w:rFonts w:asciiTheme="majorHAnsi" w:eastAsiaTheme="majorEastAsia" w:hAnsiTheme="majorHAnsi" w:cstheme="majorHAnsi"/>
          <w:color w:val="000000" w:themeColor="text1"/>
          <w:sz w:val="20"/>
          <w:szCs w:val="20"/>
          <w:lang w:val="en-US"/>
        </w:rPr>
        <w:t>27 April 2020.</w:t>
      </w:r>
    </w:p>
  </w:footnote>
  <w:footnote w:id="19">
    <w:p w:rsidR="005F4C2E" w:rsidRPr="00F51291" w:rsidRDefault="005F4C2E" w:rsidP="00E40FED">
      <w:pPr>
        <w:spacing w:before="120" w:after="120"/>
        <w:jc w:val="both"/>
        <w:rPr>
          <w:color w:val="000000" w:themeColor="text1"/>
          <w:sz w:val="20"/>
          <w:szCs w:val="20"/>
          <w:lang w:val="en-US"/>
        </w:rPr>
      </w:pPr>
      <w:r w:rsidRPr="00F51291">
        <w:rPr>
          <w:rStyle w:val="FootnoteReference"/>
          <w:color w:val="000000" w:themeColor="text1"/>
          <w:sz w:val="20"/>
          <w:szCs w:val="20"/>
          <w:lang w:val="en-US"/>
        </w:rPr>
        <w:footnoteRef/>
      </w:r>
      <w:r w:rsidRPr="00F51291">
        <w:rPr>
          <w:color w:val="000000" w:themeColor="text1"/>
          <w:sz w:val="20"/>
          <w:szCs w:val="20"/>
          <w:lang w:val="en-US"/>
        </w:rPr>
        <w:t xml:space="preserve"> See </w:t>
      </w:r>
      <w:r w:rsidRPr="00F51291">
        <w:rPr>
          <w:rFonts w:asciiTheme="majorHAnsi" w:hAnsiTheme="majorHAnsi" w:cstheme="majorHAnsi"/>
          <w:color w:val="000000" w:themeColor="text1"/>
          <w:sz w:val="20"/>
          <w:szCs w:val="20"/>
          <w:lang w:val="en-US"/>
        </w:rPr>
        <w:t>&lt;</w:t>
      </w:r>
      <w:hyperlink r:id="rId5" w:history="1">
        <w:r w:rsidRPr="00F51291">
          <w:rPr>
            <w:rStyle w:val="Hyperlink"/>
            <w:rFonts w:eastAsiaTheme="majorEastAsia"/>
            <w:color w:val="000000" w:themeColor="text1"/>
            <w:sz w:val="20"/>
            <w:szCs w:val="20"/>
            <w:lang w:val="en-US"/>
          </w:rPr>
          <w:t>https://cmpf.eui.eu/</w:t>
        </w:r>
      </w:hyperlink>
      <w:r w:rsidRPr="00F51291">
        <w:rPr>
          <w:rFonts w:asciiTheme="majorHAnsi" w:hAnsiTheme="majorHAnsi" w:cstheme="majorHAnsi"/>
          <w:color w:val="000000" w:themeColor="text1"/>
          <w:sz w:val="20"/>
          <w:szCs w:val="20"/>
          <w:lang w:val="en-US"/>
        </w:rPr>
        <w:t xml:space="preserve">&gt; accessed </w:t>
      </w:r>
      <w:r w:rsidRPr="00F51291">
        <w:rPr>
          <w:rFonts w:asciiTheme="majorHAnsi" w:eastAsiaTheme="majorEastAsia" w:hAnsiTheme="majorHAnsi" w:cstheme="majorHAnsi"/>
          <w:color w:val="000000" w:themeColor="text1"/>
          <w:sz w:val="20"/>
          <w:szCs w:val="20"/>
          <w:lang w:val="en-US"/>
        </w:rPr>
        <w:t>27 April 2020.</w:t>
      </w:r>
    </w:p>
  </w:footnote>
  <w:footnote w:id="20">
    <w:p w:rsidR="005F4C2E" w:rsidRPr="00F51291" w:rsidRDefault="005F4C2E" w:rsidP="00E40FED">
      <w:pPr>
        <w:pStyle w:val="FootnoteText"/>
        <w:spacing w:before="120" w:after="120"/>
        <w:jc w:val="both"/>
        <w:rPr>
          <w:color w:val="000000" w:themeColor="text1"/>
          <w:lang w:val="en-US"/>
        </w:rPr>
      </w:pPr>
      <w:r w:rsidRPr="00F51291">
        <w:rPr>
          <w:rStyle w:val="FootnoteReference"/>
          <w:color w:val="000000" w:themeColor="text1"/>
          <w:lang w:val="en-US"/>
        </w:rPr>
        <w:footnoteRef/>
      </w:r>
      <w:r w:rsidRPr="00F51291">
        <w:rPr>
          <w:color w:val="000000" w:themeColor="text1"/>
          <w:lang w:val="en-US"/>
        </w:rPr>
        <w:t xml:space="preserve"> HLGMFP, ‘A Free and Pluralistic Media to Sustain European Democracy’ </w:t>
      </w:r>
      <w:r w:rsidRPr="00F51291">
        <w:rPr>
          <w:rFonts w:asciiTheme="majorHAnsi" w:hAnsiTheme="majorHAnsi" w:cstheme="majorHAnsi"/>
          <w:color w:val="000000" w:themeColor="text1"/>
          <w:lang w:val="en-US"/>
        </w:rPr>
        <w:t>[2013].</w:t>
      </w:r>
    </w:p>
  </w:footnote>
  <w:footnote w:id="21">
    <w:p w:rsidR="005F4C2E" w:rsidRPr="00F51291" w:rsidRDefault="005F4C2E" w:rsidP="00E40FED">
      <w:pPr>
        <w:pStyle w:val="FootnoteText"/>
        <w:spacing w:before="120" w:after="120"/>
        <w:jc w:val="both"/>
        <w:rPr>
          <w:color w:val="000000" w:themeColor="text1"/>
          <w:lang w:val="en-US"/>
        </w:rPr>
      </w:pPr>
      <w:r w:rsidRPr="00F51291">
        <w:rPr>
          <w:rStyle w:val="FootnoteReference"/>
          <w:color w:val="000000" w:themeColor="text1"/>
          <w:lang w:val="en-US"/>
        </w:rPr>
        <w:footnoteRef/>
      </w:r>
      <w:r w:rsidRPr="00F51291">
        <w:rPr>
          <w:color w:val="000000" w:themeColor="text1"/>
          <w:lang w:val="en-US"/>
        </w:rPr>
        <w:t xml:space="preserve"> CMPF, ‘EU Competencies in respect of Media Pluralism and Media Freedom’ </w:t>
      </w:r>
      <w:r w:rsidRPr="00F51291">
        <w:rPr>
          <w:rFonts w:asciiTheme="majorHAnsi" w:hAnsiTheme="majorHAnsi" w:cstheme="majorHAnsi"/>
          <w:color w:val="000000" w:themeColor="text1"/>
          <w:lang w:val="en-US"/>
        </w:rPr>
        <w:t>[2013].</w:t>
      </w:r>
    </w:p>
  </w:footnote>
  <w:footnote w:id="22">
    <w:p w:rsidR="005F4C2E" w:rsidRPr="00F51291" w:rsidRDefault="005F4C2E" w:rsidP="00E40FED">
      <w:pPr>
        <w:pStyle w:val="FootnoteText"/>
        <w:spacing w:before="120" w:after="120"/>
        <w:jc w:val="both"/>
        <w:rPr>
          <w:color w:val="000000" w:themeColor="text1"/>
          <w:lang w:val="en-US"/>
        </w:rPr>
      </w:pPr>
      <w:r w:rsidRPr="00F51291">
        <w:rPr>
          <w:rStyle w:val="FootnoteReference"/>
          <w:color w:val="000000" w:themeColor="text1"/>
          <w:lang w:val="en-US"/>
        </w:rPr>
        <w:footnoteRef/>
      </w:r>
      <w:r w:rsidRPr="00F51291">
        <w:rPr>
          <w:color w:val="000000" w:themeColor="text1"/>
          <w:lang w:val="en-US"/>
        </w:rPr>
        <w:t xml:space="preserve"> HLGMFP (n 20) 3. </w:t>
      </w:r>
    </w:p>
  </w:footnote>
  <w:footnote w:id="23">
    <w:p w:rsidR="005F4C2E" w:rsidRPr="00335629" w:rsidRDefault="005F4C2E" w:rsidP="00E40FED">
      <w:pPr>
        <w:pStyle w:val="FootnoteText"/>
        <w:spacing w:before="120" w:after="120"/>
        <w:jc w:val="both"/>
        <w:rPr>
          <w:color w:val="000000" w:themeColor="text1"/>
        </w:rPr>
      </w:pPr>
      <w:r w:rsidRPr="00F51291">
        <w:rPr>
          <w:rStyle w:val="FootnoteReference"/>
          <w:color w:val="000000" w:themeColor="text1"/>
          <w:lang w:val="en-US"/>
        </w:rPr>
        <w:footnoteRef/>
      </w:r>
      <w:r w:rsidRPr="00F51291">
        <w:rPr>
          <w:color w:val="000000" w:themeColor="text1"/>
          <w:lang w:val="en-US"/>
        </w:rPr>
        <w:t xml:space="preserve"> ibid 17-25.</w:t>
      </w:r>
    </w:p>
  </w:footnote>
  <w:footnote w:id="24">
    <w:p w:rsidR="005F4C2E" w:rsidRPr="00D410F3" w:rsidRDefault="005F4C2E" w:rsidP="006C25CE">
      <w:pPr>
        <w:pStyle w:val="FootnoteText"/>
        <w:spacing w:after="120"/>
        <w:jc w:val="both"/>
        <w:rPr>
          <w:color w:val="000000" w:themeColor="text1"/>
        </w:rPr>
      </w:pPr>
      <w:r w:rsidRPr="00D410F3">
        <w:rPr>
          <w:rStyle w:val="FootnoteReference"/>
          <w:color w:val="000000" w:themeColor="text1"/>
        </w:rPr>
        <w:footnoteRef/>
      </w:r>
      <w:r w:rsidRPr="00D410F3">
        <w:rPr>
          <w:color w:val="000000" w:themeColor="text1"/>
        </w:rPr>
        <w:t xml:space="preserve"> CMPF (n 21) 67. </w:t>
      </w:r>
    </w:p>
  </w:footnote>
  <w:footnote w:id="25">
    <w:p w:rsidR="005F4C2E" w:rsidRPr="00D410F3" w:rsidRDefault="005F4C2E" w:rsidP="00922AB4">
      <w:pPr>
        <w:pStyle w:val="FootnoteText"/>
        <w:spacing w:before="120" w:after="120"/>
        <w:jc w:val="both"/>
        <w:rPr>
          <w:color w:val="000000" w:themeColor="text1"/>
        </w:rPr>
      </w:pPr>
      <w:r w:rsidRPr="00D410F3">
        <w:rPr>
          <w:rStyle w:val="FootnoteReference"/>
          <w:color w:val="000000" w:themeColor="text1"/>
        </w:rPr>
        <w:footnoteRef/>
      </w:r>
      <w:r w:rsidRPr="00D410F3">
        <w:rPr>
          <w:color w:val="000000" w:themeColor="text1"/>
        </w:rPr>
        <w:t xml:space="preserve"> ibid 11, 73-75.</w:t>
      </w:r>
    </w:p>
  </w:footnote>
  <w:footnote w:id="26">
    <w:p w:rsidR="005F4C2E" w:rsidRPr="00D410F3" w:rsidRDefault="005F4C2E" w:rsidP="00922AB4">
      <w:pPr>
        <w:pStyle w:val="FootnoteText"/>
        <w:spacing w:before="120" w:after="120"/>
        <w:jc w:val="both"/>
        <w:rPr>
          <w:color w:val="000000" w:themeColor="text1"/>
        </w:rPr>
      </w:pPr>
      <w:r w:rsidRPr="00D410F3">
        <w:rPr>
          <w:rStyle w:val="FootnoteReference"/>
          <w:color w:val="000000" w:themeColor="text1"/>
        </w:rPr>
        <w:footnoteRef/>
      </w:r>
      <w:r w:rsidRPr="00D410F3">
        <w:rPr>
          <w:color w:val="000000" w:themeColor="text1"/>
        </w:rPr>
        <w:t xml:space="preserve"> ibid 105.</w:t>
      </w:r>
    </w:p>
  </w:footnote>
  <w:footnote w:id="27">
    <w:p w:rsidR="005F4C2E" w:rsidRPr="00D410F3" w:rsidRDefault="005F4C2E" w:rsidP="00922AB4">
      <w:pPr>
        <w:pStyle w:val="FootnoteText"/>
        <w:spacing w:before="120" w:after="120"/>
        <w:jc w:val="both"/>
        <w:rPr>
          <w:color w:val="000000" w:themeColor="text1"/>
        </w:rPr>
      </w:pPr>
      <w:r w:rsidRPr="00D410F3">
        <w:rPr>
          <w:rStyle w:val="FootnoteReference"/>
          <w:color w:val="000000" w:themeColor="text1"/>
        </w:rPr>
        <w:footnoteRef/>
      </w:r>
      <w:r w:rsidRPr="00D410F3">
        <w:rPr>
          <w:color w:val="000000" w:themeColor="text1"/>
        </w:rPr>
        <w:t xml:space="preserve"> ibid 11.</w:t>
      </w:r>
    </w:p>
  </w:footnote>
  <w:footnote w:id="28">
    <w:p w:rsidR="005F4C2E" w:rsidRPr="00D410F3" w:rsidRDefault="005F4C2E" w:rsidP="00922AB4">
      <w:pPr>
        <w:pStyle w:val="FootnoteText"/>
        <w:spacing w:before="120" w:after="120"/>
        <w:jc w:val="both"/>
        <w:rPr>
          <w:color w:val="000000" w:themeColor="text1"/>
        </w:rPr>
      </w:pPr>
      <w:r w:rsidRPr="00D410F3">
        <w:rPr>
          <w:rStyle w:val="FootnoteReference"/>
          <w:color w:val="000000" w:themeColor="text1"/>
        </w:rPr>
        <w:footnoteRef/>
      </w:r>
      <w:r w:rsidRPr="00D410F3">
        <w:rPr>
          <w:color w:val="000000" w:themeColor="text1"/>
        </w:rPr>
        <w:t xml:space="preserve"> ibid 11, 113-115</w:t>
      </w:r>
    </w:p>
  </w:footnote>
  <w:footnote w:id="29">
    <w:p w:rsidR="005F4C2E" w:rsidRPr="00D410F3" w:rsidRDefault="005F4C2E" w:rsidP="00922AB4">
      <w:pPr>
        <w:pStyle w:val="FootnoteText"/>
        <w:spacing w:before="120" w:after="120"/>
        <w:jc w:val="both"/>
      </w:pPr>
      <w:r w:rsidRPr="00D410F3">
        <w:rPr>
          <w:rStyle w:val="FootnoteReference"/>
        </w:rPr>
        <w:footnoteRef/>
      </w:r>
      <w:r w:rsidRPr="00D410F3">
        <w:t xml:space="preserve"> ibid 11, 115-117.</w:t>
      </w:r>
    </w:p>
  </w:footnote>
  <w:footnote w:id="30">
    <w:p w:rsidR="005F4C2E" w:rsidRPr="00D410F3" w:rsidRDefault="005F4C2E" w:rsidP="00922AB4">
      <w:pPr>
        <w:pStyle w:val="FootnoteText"/>
        <w:spacing w:before="120" w:after="120"/>
        <w:jc w:val="both"/>
      </w:pPr>
      <w:r w:rsidRPr="00D410F3">
        <w:rPr>
          <w:rStyle w:val="FootnoteReference"/>
        </w:rPr>
        <w:footnoteRef/>
      </w:r>
      <w:r w:rsidRPr="00D410F3">
        <w:t xml:space="preserve"> ibid 122.</w:t>
      </w:r>
    </w:p>
  </w:footnote>
  <w:footnote w:id="31">
    <w:p w:rsidR="005F4C2E" w:rsidRDefault="005F4C2E" w:rsidP="00922AB4">
      <w:pPr>
        <w:pStyle w:val="FootnoteText"/>
        <w:spacing w:before="120" w:after="120"/>
        <w:jc w:val="both"/>
      </w:pPr>
      <w:r w:rsidRPr="00D410F3">
        <w:rPr>
          <w:rStyle w:val="FootnoteReference"/>
        </w:rPr>
        <w:footnoteRef/>
      </w:r>
      <w:r w:rsidRPr="00D410F3">
        <w:t xml:space="preserve"> ibid 112.</w:t>
      </w:r>
    </w:p>
  </w:footnote>
  <w:footnote w:id="32">
    <w:p w:rsidR="005F4C2E" w:rsidRPr="00AC6A5E" w:rsidRDefault="005F4C2E" w:rsidP="006C25CE">
      <w:pPr>
        <w:pStyle w:val="FootnoteText"/>
        <w:spacing w:after="120"/>
        <w:jc w:val="both"/>
        <w:rPr>
          <w:rFonts w:asciiTheme="majorHAnsi" w:hAnsiTheme="majorHAnsi" w:cstheme="majorHAnsi"/>
          <w:lang w:val="en-US"/>
        </w:rPr>
      </w:pPr>
      <w:r w:rsidRPr="00AC6A5E">
        <w:rPr>
          <w:rStyle w:val="FootnoteReference"/>
          <w:rFonts w:asciiTheme="majorHAnsi" w:hAnsiTheme="majorHAnsi" w:cstheme="majorHAnsi"/>
          <w:lang w:val="en-US"/>
        </w:rPr>
        <w:footnoteRef/>
      </w:r>
      <w:r w:rsidRPr="00AC6A5E">
        <w:rPr>
          <w:rFonts w:asciiTheme="majorHAnsi" w:hAnsiTheme="majorHAnsi" w:cstheme="majorHAnsi"/>
          <w:lang w:val="en-US"/>
        </w:rPr>
        <w:t xml:space="preserve"> Consolidated Version of the Treaty on the Functioning of the European Union </w:t>
      </w:r>
      <w:r w:rsidRPr="00AC6A5E">
        <w:rPr>
          <w:rFonts w:asciiTheme="majorHAnsi" w:hAnsiTheme="majorHAnsi" w:cstheme="majorHAnsi"/>
          <w:color w:val="000000" w:themeColor="text1"/>
          <w:lang w:val="en-US"/>
        </w:rPr>
        <w:t>[2012] OJ C 326.</w:t>
      </w:r>
    </w:p>
  </w:footnote>
  <w:footnote w:id="33">
    <w:p w:rsidR="005F4C2E" w:rsidRPr="00AC6A5E" w:rsidRDefault="005F4C2E" w:rsidP="00AB06A4">
      <w:pPr>
        <w:pStyle w:val="FootnoteText"/>
        <w:spacing w:before="120" w:after="120"/>
        <w:jc w:val="both"/>
        <w:rPr>
          <w:lang w:val="en-US"/>
        </w:rPr>
      </w:pPr>
      <w:r w:rsidRPr="00AC6A5E">
        <w:rPr>
          <w:rStyle w:val="FootnoteReference"/>
          <w:lang w:val="en-US"/>
        </w:rPr>
        <w:footnoteRef/>
      </w:r>
      <w:r w:rsidRPr="00AC6A5E">
        <w:rPr>
          <w:lang w:val="en-US"/>
        </w:rPr>
        <w:t xml:space="preserve"> </w:t>
      </w:r>
      <w:r w:rsidRPr="00AC6A5E">
        <w:rPr>
          <w:color w:val="000000" w:themeColor="text1"/>
          <w:lang w:val="en-US"/>
        </w:rPr>
        <w:t xml:space="preserve">CMPF (n 21) 112-113. </w:t>
      </w:r>
    </w:p>
  </w:footnote>
  <w:footnote w:id="34">
    <w:p w:rsidR="005F4C2E" w:rsidRPr="00AC6A5E" w:rsidRDefault="005F4C2E" w:rsidP="00AB06A4">
      <w:pPr>
        <w:pStyle w:val="FootnoteText"/>
        <w:spacing w:before="120" w:after="120"/>
        <w:jc w:val="both"/>
        <w:rPr>
          <w:rFonts w:asciiTheme="majorHAnsi" w:hAnsiTheme="majorHAnsi" w:cstheme="majorHAnsi"/>
          <w:color w:val="000000" w:themeColor="text1"/>
          <w:lang w:val="en-US"/>
        </w:rPr>
      </w:pPr>
      <w:r w:rsidRPr="00AC6A5E">
        <w:rPr>
          <w:rStyle w:val="FootnoteReference"/>
          <w:rFonts w:asciiTheme="majorHAnsi" w:hAnsiTheme="majorHAnsi" w:cstheme="majorHAnsi"/>
          <w:color w:val="000000" w:themeColor="text1"/>
          <w:lang w:val="en-US"/>
        </w:rPr>
        <w:footnoteRef/>
      </w:r>
      <w:r w:rsidRPr="00AC6A5E">
        <w:rPr>
          <w:rFonts w:asciiTheme="majorHAnsi" w:hAnsiTheme="majorHAnsi" w:cstheme="majorHAnsi"/>
          <w:color w:val="000000" w:themeColor="text1"/>
          <w:lang w:val="en-US"/>
        </w:rPr>
        <w:t xml:space="preserve"> Treaty of Lisbon amending the Treaty on European Union and the Treaty Establishing the European Community [2007] OJ C 306 article 6.</w:t>
      </w:r>
    </w:p>
  </w:footnote>
  <w:footnote w:id="35">
    <w:p w:rsidR="005F4C2E" w:rsidRPr="00AC6A5E" w:rsidRDefault="005F4C2E" w:rsidP="00AB06A4">
      <w:pPr>
        <w:pStyle w:val="FootnoteText"/>
        <w:spacing w:before="120" w:after="120"/>
        <w:jc w:val="both"/>
        <w:rPr>
          <w:color w:val="000000" w:themeColor="text1"/>
          <w:lang w:val="en-US"/>
        </w:rPr>
      </w:pPr>
      <w:r w:rsidRPr="00AC6A5E">
        <w:rPr>
          <w:rStyle w:val="FootnoteReference"/>
          <w:color w:val="000000" w:themeColor="text1"/>
          <w:lang w:val="en-US"/>
        </w:rPr>
        <w:footnoteRef/>
      </w:r>
      <w:r w:rsidRPr="00AC6A5E">
        <w:rPr>
          <w:color w:val="000000" w:themeColor="text1"/>
          <w:lang w:val="en-US"/>
        </w:rPr>
        <w:t xml:space="preserve"> Jan Oster, </w:t>
      </w:r>
      <w:r w:rsidRPr="00AC6A5E">
        <w:rPr>
          <w:rFonts w:asciiTheme="majorHAnsi" w:hAnsiTheme="majorHAnsi" w:cstheme="majorHAnsi"/>
          <w:i/>
          <w:color w:val="000000" w:themeColor="text1"/>
          <w:lang w:val="en-US"/>
        </w:rPr>
        <w:t xml:space="preserve">European and International Media Law </w:t>
      </w:r>
      <w:r w:rsidRPr="00AC6A5E">
        <w:rPr>
          <w:rFonts w:asciiTheme="majorHAnsi" w:hAnsiTheme="majorHAnsi" w:cstheme="majorHAnsi"/>
          <w:color w:val="000000" w:themeColor="text1"/>
          <w:lang w:val="en-US"/>
        </w:rPr>
        <w:t>(Cambridge University Press 2016) 106.</w:t>
      </w:r>
    </w:p>
  </w:footnote>
  <w:footnote w:id="36">
    <w:p w:rsidR="005F4C2E" w:rsidRPr="00AC6A5E" w:rsidRDefault="005F4C2E" w:rsidP="00AB06A4">
      <w:pPr>
        <w:pStyle w:val="FootnoteText"/>
        <w:spacing w:before="120" w:after="120"/>
        <w:jc w:val="both"/>
        <w:rPr>
          <w:color w:val="000000" w:themeColor="text1"/>
          <w:lang w:val="en-US"/>
        </w:rPr>
      </w:pPr>
      <w:r w:rsidRPr="00AC6A5E">
        <w:rPr>
          <w:rStyle w:val="FootnoteReference"/>
          <w:color w:val="000000" w:themeColor="text1"/>
          <w:lang w:val="en-US"/>
        </w:rPr>
        <w:footnoteRef/>
      </w:r>
      <w:r w:rsidRPr="00AC6A5E">
        <w:rPr>
          <w:color w:val="000000" w:themeColor="text1"/>
          <w:lang w:val="en-US"/>
        </w:rPr>
        <w:t xml:space="preserve"> Komorek (n 6) 263. </w:t>
      </w:r>
    </w:p>
  </w:footnote>
  <w:footnote w:id="37">
    <w:p w:rsidR="005F4C2E" w:rsidRPr="00AC6A5E" w:rsidRDefault="005F4C2E" w:rsidP="00AB06A4">
      <w:pPr>
        <w:pStyle w:val="FootnoteText"/>
        <w:spacing w:before="120" w:after="120"/>
        <w:jc w:val="both"/>
        <w:rPr>
          <w:color w:val="000000" w:themeColor="text1"/>
          <w:lang w:val="en-US"/>
        </w:rPr>
      </w:pPr>
      <w:r w:rsidRPr="00AC6A5E">
        <w:rPr>
          <w:rStyle w:val="FootnoteReference"/>
          <w:color w:val="000000" w:themeColor="text1"/>
          <w:lang w:val="en-US"/>
        </w:rPr>
        <w:footnoteRef/>
      </w:r>
      <w:r w:rsidRPr="00AC6A5E">
        <w:rPr>
          <w:color w:val="000000" w:themeColor="text1"/>
          <w:lang w:val="en-US"/>
        </w:rPr>
        <w:t xml:space="preserve"> ibid. </w:t>
      </w:r>
    </w:p>
  </w:footnote>
  <w:footnote w:id="38">
    <w:p w:rsidR="005F4C2E" w:rsidRPr="00AC6A5E" w:rsidRDefault="005F4C2E" w:rsidP="00AB06A4">
      <w:pPr>
        <w:pStyle w:val="FootnoteText"/>
        <w:spacing w:before="120" w:after="120"/>
        <w:jc w:val="both"/>
        <w:rPr>
          <w:color w:val="000000" w:themeColor="text1"/>
          <w:lang w:val="en-US"/>
        </w:rPr>
      </w:pPr>
      <w:r w:rsidRPr="00AC6A5E">
        <w:rPr>
          <w:rStyle w:val="FootnoteReference"/>
          <w:color w:val="000000" w:themeColor="text1"/>
          <w:lang w:val="en-US"/>
        </w:rPr>
        <w:footnoteRef/>
      </w:r>
      <w:r w:rsidRPr="00AC6A5E">
        <w:rPr>
          <w:color w:val="000000" w:themeColor="text1"/>
          <w:lang w:val="en-US"/>
        </w:rPr>
        <w:t xml:space="preserve"> The Charter article 51(2).</w:t>
      </w:r>
    </w:p>
  </w:footnote>
  <w:footnote w:id="39">
    <w:p w:rsidR="005F4C2E" w:rsidRPr="00AC6A5E" w:rsidRDefault="005F4C2E" w:rsidP="00AB06A4">
      <w:pPr>
        <w:pStyle w:val="FootnoteText"/>
        <w:spacing w:before="120" w:after="120"/>
        <w:jc w:val="both"/>
        <w:rPr>
          <w:lang w:val="en-US"/>
        </w:rPr>
      </w:pPr>
      <w:r w:rsidRPr="00AC6A5E">
        <w:rPr>
          <w:rStyle w:val="FootnoteReference"/>
          <w:lang w:val="en-US"/>
        </w:rPr>
        <w:footnoteRef/>
      </w:r>
      <w:r w:rsidRPr="00AC6A5E">
        <w:rPr>
          <w:lang w:val="en-US"/>
        </w:rPr>
        <w:t xml:space="preserve"> </w:t>
      </w:r>
      <w:r w:rsidRPr="00AC6A5E">
        <w:rPr>
          <w:color w:val="000000" w:themeColor="text1"/>
          <w:lang w:val="en-US"/>
        </w:rPr>
        <w:t xml:space="preserve">Komorek (n 6) 95.  </w:t>
      </w:r>
    </w:p>
  </w:footnote>
  <w:footnote w:id="40">
    <w:p w:rsidR="005F4C2E" w:rsidRPr="001A0AFC" w:rsidRDefault="005F4C2E" w:rsidP="001A0AFC">
      <w:pPr>
        <w:pStyle w:val="FootnoteText"/>
        <w:spacing w:before="120" w:after="120"/>
        <w:jc w:val="both"/>
        <w:rPr>
          <w:lang w:val="en-US"/>
        </w:rPr>
      </w:pPr>
      <w:r w:rsidRPr="00AC6A5E">
        <w:rPr>
          <w:rStyle w:val="FootnoteReference"/>
          <w:lang w:val="en-US"/>
        </w:rPr>
        <w:footnoteRef/>
      </w:r>
      <w:r w:rsidRPr="00AC6A5E">
        <w:rPr>
          <w:lang w:val="en-US"/>
        </w:rPr>
        <w:t xml:space="preserve"> Council Regulation No 139/2004 of 20 January 2004 on the control of concentrations between undertakings </w:t>
      </w:r>
      <w:r w:rsidRPr="00AC6A5E">
        <w:rPr>
          <w:rFonts w:asciiTheme="majorHAnsi" w:hAnsiTheme="majorHAnsi" w:cstheme="majorHAnsi"/>
          <w:color w:val="000000" w:themeColor="text1"/>
          <w:lang w:val="en-US"/>
        </w:rPr>
        <w:t>[2004] OJ L 24.</w:t>
      </w:r>
    </w:p>
  </w:footnote>
  <w:footnote w:id="41">
    <w:p w:rsidR="005F4C2E" w:rsidRPr="0083578E" w:rsidRDefault="005F4C2E" w:rsidP="006C25CE">
      <w:pPr>
        <w:pStyle w:val="FootnoteText"/>
        <w:spacing w:after="120"/>
        <w:jc w:val="both"/>
        <w:rPr>
          <w:lang w:val="en-US"/>
        </w:rPr>
      </w:pPr>
      <w:r w:rsidRPr="0083578E">
        <w:rPr>
          <w:rStyle w:val="FootnoteReference"/>
          <w:lang w:val="en-US"/>
        </w:rPr>
        <w:footnoteRef/>
      </w:r>
      <w:r w:rsidRPr="0083578E">
        <w:rPr>
          <w:lang w:val="en-US"/>
        </w:rPr>
        <w:t xml:space="preserve"> EC, ‘Commission Decision of 22/III/2006 – Joint selling of the media rights to the FA Premier League’ C (2016) 868 final.</w:t>
      </w:r>
    </w:p>
  </w:footnote>
  <w:footnote w:id="42">
    <w:p w:rsidR="005F4C2E" w:rsidRPr="0083578E" w:rsidRDefault="005F4C2E" w:rsidP="00EC5099">
      <w:pPr>
        <w:pStyle w:val="FootnoteText"/>
        <w:spacing w:before="120" w:after="120"/>
        <w:jc w:val="both"/>
        <w:rPr>
          <w:lang w:val="en-US"/>
        </w:rPr>
      </w:pPr>
      <w:r w:rsidRPr="0083578E">
        <w:rPr>
          <w:rStyle w:val="FootnoteReference"/>
          <w:lang w:val="en-US"/>
        </w:rPr>
        <w:footnoteRef/>
      </w:r>
      <w:r w:rsidRPr="0083578E">
        <w:rPr>
          <w:lang w:val="en-US"/>
        </w:rPr>
        <w:t xml:space="preserve"> ibid 3. </w:t>
      </w:r>
    </w:p>
  </w:footnote>
  <w:footnote w:id="43">
    <w:p w:rsidR="005F4C2E" w:rsidRPr="0083578E" w:rsidRDefault="005F4C2E" w:rsidP="00EC5099">
      <w:pPr>
        <w:pStyle w:val="FootnoteText"/>
        <w:spacing w:before="120" w:after="120"/>
        <w:jc w:val="both"/>
        <w:rPr>
          <w:lang w:val="en-US"/>
        </w:rPr>
      </w:pPr>
      <w:r w:rsidRPr="0083578E">
        <w:rPr>
          <w:rStyle w:val="FootnoteReference"/>
          <w:lang w:val="en-US"/>
        </w:rPr>
        <w:footnoteRef/>
      </w:r>
      <w:r w:rsidRPr="0083578E">
        <w:rPr>
          <w:lang w:val="en-US"/>
        </w:rPr>
        <w:t xml:space="preserve"> ibid 10-11. </w:t>
      </w:r>
    </w:p>
  </w:footnote>
  <w:footnote w:id="44">
    <w:p w:rsidR="005F4C2E" w:rsidRPr="0083578E" w:rsidRDefault="005F4C2E" w:rsidP="00EC5099">
      <w:pPr>
        <w:pStyle w:val="FootnoteText"/>
        <w:spacing w:before="120" w:after="120"/>
        <w:jc w:val="both"/>
        <w:rPr>
          <w:lang w:val="en-US"/>
        </w:rPr>
      </w:pPr>
      <w:r w:rsidRPr="0083578E">
        <w:rPr>
          <w:rStyle w:val="FootnoteReference"/>
          <w:lang w:val="en-US"/>
        </w:rPr>
        <w:footnoteRef/>
      </w:r>
      <w:r w:rsidRPr="0083578E">
        <w:rPr>
          <w:lang w:val="en-US"/>
        </w:rPr>
        <w:t xml:space="preserve"> See </w:t>
      </w:r>
      <w:r w:rsidRPr="0083578E">
        <w:rPr>
          <w:color w:val="000000" w:themeColor="text1"/>
          <w:lang w:val="en-US"/>
        </w:rPr>
        <w:t xml:space="preserve">Mike Milne, </w:t>
      </w:r>
      <w:r w:rsidRPr="0083578E">
        <w:rPr>
          <w:rFonts w:asciiTheme="majorHAnsi" w:hAnsiTheme="majorHAnsi" w:cstheme="majorHAnsi"/>
          <w:i/>
          <w:color w:val="000000" w:themeColor="text1"/>
          <w:lang w:val="en-US"/>
        </w:rPr>
        <w:t xml:space="preserve">The Transformation of Television Sport: New Methods, New Rules </w:t>
      </w:r>
      <w:r w:rsidRPr="0083578E">
        <w:rPr>
          <w:rFonts w:asciiTheme="majorHAnsi" w:hAnsiTheme="majorHAnsi" w:cstheme="majorHAnsi"/>
          <w:color w:val="000000" w:themeColor="text1"/>
          <w:lang w:val="en-US"/>
        </w:rPr>
        <w:t>(Palgrave Macmillan 2016) 81-84.</w:t>
      </w:r>
    </w:p>
  </w:footnote>
  <w:footnote w:id="45">
    <w:p w:rsidR="005F4C2E" w:rsidRPr="0083578E" w:rsidRDefault="005F4C2E" w:rsidP="00EC5099">
      <w:pPr>
        <w:pStyle w:val="FootnoteText"/>
        <w:spacing w:before="120" w:after="120"/>
        <w:jc w:val="both"/>
        <w:rPr>
          <w:lang w:val="en-US"/>
        </w:rPr>
      </w:pPr>
      <w:r w:rsidRPr="0083578E">
        <w:rPr>
          <w:rStyle w:val="FootnoteReference"/>
          <w:lang w:val="en-US"/>
        </w:rPr>
        <w:footnoteRef/>
      </w:r>
      <w:r w:rsidRPr="0083578E">
        <w:rPr>
          <w:lang w:val="en-US"/>
        </w:rPr>
        <w:t xml:space="preserve"> </w:t>
      </w:r>
      <w:r w:rsidRPr="0083578E">
        <w:rPr>
          <w:color w:val="000000" w:themeColor="text1"/>
          <w:lang w:val="en-US"/>
        </w:rPr>
        <w:t xml:space="preserve">Komorek (n 6) 134.  </w:t>
      </w:r>
    </w:p>
  </w:footnote>
  <w:footnote w:id="46">
    <w:p w:rsidR="005F4C2E" w:rsidRPr="0083578E" w:rsidRDefault="005F4C2E" w:rsidP="00EC5099">
      <w:pPr>
        <w:pStyle w:val="FootnoteText"/>
        <w:spacing w:before="120" w:after="120"/>
        <w:jc w:val="both"/>
        <w:rPr>
          <w:lang w:val="en-US"/>
        </w:rPr>
      </w:pPr>
      <w:r w:rsidRPr="0083578E">
        <w:rPr>
          <w:rStyle w:val="FootnoteReference"/>
          <w:lang w:val="en-US"/>
        </w:rPr>
        <w:footnoteRef/>
      </w:r>
      <w:r w:rsidRPr="0083578E">
        <w:rPr>
          <w:lang w:val="en-US"/>
        </w:rPr>
        <w:t xml:space="preserve"> ibid. </w:t>
      </w:r>
    </w:p>
  </w:footnote>
  <w:footnote w:id="47">
    <w:p w:rsidR="005F4C2E" w:rsidRPr="0083578E" w:rsidRDefault="005F4C2E" w:rsidP="00EC5099">
      <w:pPr>
        <w:spacing w:before="120" w:after="120"/>
        <w:jc w:val="both"/>
        <w:rPr>
          <w:sz w:val="20"/>
          <w:szCs w:val="20"/>
        </w:rPr>
      </w:pPr>
      <w:r w:rsidRPr="0083578E">
        <w:rPr>
          <w:rStyle w:val="FootnoteReference"/>
          <w:sz w:val="20"/>
          <w:szCs w:val="20"/>
          <w:lang w:val="en-US"/>
        </w:rPr>
        <w:footnoteRef/>
      </w:r>
      <w:r w:rsidRPr="0083578E">
        <w:rPr>
          <w:sz w:val="20"/>
          <w:szCs w:val="20"/>
          <w:lang w:val="en-US"/>
        </w:rPr>
        <w:t xml:space="preserve"> </w:t>
      </w:r>
      <w:r w:rsidRPr="0083578E">
        <w:rPr>
          <w:color w:val="000000" w:themeColor="text1"/>
          <w:sz w:val="20"/>
          <w:szCs w:val="20"/>
          <w:lang w:val="en-US"/>
        </w:rPr>
        <w:t>Mark Sweney, ‘Premier League brings record number of sign-ups to Amazon Prime’ (The Guardian, 6 December 2019) &lt;</w:t>
      </w:r>
      <w:hyperlink r:id="rId6" w:history="1">
        <w:r w:rsidRPr="0083578E">
          <w:rPr>
            <w:rStyle w:val="Hyperlink"/>
            <w:color w:val="000000" w:themeColor="text1"/>
            <w:sz w:val="20"/>
            <w:szCs w:val="20"/>
            <w:lang w:val="en-US"/>
          </w:rPr>
          <w:t>www.theguardian.com/technology/2019/dec/06/premier-league-brings-record-number-of-sign-ups-to-amazon-prime</w:t>
        </w:r>
      </w:hyperlink>
      <w:r w:rsidRPr="0083578E">
        <w:rPr>
          <w:color w:val="000000" w:themeColor="text1"/>
          <w:sz w:val="20"/>
          <w:szCs w:val="20"/>
          <w:lang w:val="en-US"/>
        </w:rPr>
        <w:t xml:space="preserve">&gt; accessed </w:t>
      </w:r>
      <w:r w:rsidRPr="0083578E">
        <w:rPr>
          <w:rFonts w:asciiTheme="majorHAnsi" w:hAnsiTheme="majorHAnsi" w:cstheme="majorHAnsi"/>
          <w:color w:val="000000" w:themeColor="text1"/>
          <w:sz w:val="20"/>
          <w:szCs w:val="20"/>
          <w:lang w:val="en-US"/>
        </w:rPr>
        <w:t>1 May 2020.</w:t>
      </w:r>
    </w:p>
  </w:footnote>
  <w:footnote w:id="48">
    <w:p w:rsidR="005F4C2E" w:rsidRDefault="005F4C2E" w:rsidP="00EC5099">
      <w:pPr>
        <w:pStyle w:val="FootnoteText"/>
        <w:spacing w:before="120" w:after="120"/>
        <w:jc w:val="both"/>
      </w:pPr>
      <w:r w:rsidRPr="0083578E">
        <w:rPr>
          <w:rStyle w:val="FootnoteReference"/>
        </w:rPr>
        <w:footnoteRef/>
      </w:r>
      <w:r w:rsidRPr="0083578E">
        <w:t xml:space="preserve"> </w:t>
      </w:r>
      <w:r w:rsidRPr="0083578E">
        <w:rPr>
          <w:color w:val="000000" w:themeColor="text1"/>
          <w:lang w:val="en-US"/>
        </w:rPr>
        <w:t>Komorek (n 6) 134-135.</w:t>
      </w:r>
      <w:r w:rsidRPr="00AE1FDE">
        <w:rPr>
          <w:color w:val="000000" w:themeColor="text1"/>
          <w:lang w:val="en-US"/>
        </w:rPr>
        <w:t xml:space="preserve">  </w:t>
      </w:r>
    </w:p>
  </w:footnote>
  <w:footnote w:id="49">
    <w:p w:rsidR="005F4C2E" w:rsidRPr="00471AE7" w:rsidRDefault="005F4C2E" w:rsidP="006C25CE">
      <w:pPr>
        <w:pStyle w:val="FootnoteText"/>
        <w:spacing w:after="120"/>
        <w:jc w:val="both"/>
      </w:pPr>
      <w:r w:rsidRPr="00471AE7">
        <w:rPr>
          <w:rStyle w:val="FootnoteReference"/>
        </w:rPr>
        <w:footnoteRef/>
      </w:r>
      <w:r w:rsidRPr="00471AE7">
        <w:t xml:space="preserve"> The EU Merger Regulation articles 1-3 and 21. </w:t>
      </w:r>
    </w:p>
  </w:footnote>
  <w:footnote w:id="50">
    <w:p w:rsidR="005F4C2E" w:rsidRPr="00471AE7" w:rsidRDefault="005F4C2E" w:rsidP="000B0400">
      <w:pPr>
        <w:pStyle w:val="FootnoteText"/>
        <w:spacing w:before="120" w:after="120"/>
        <w:jc w:val="both"/>
      </w:pPr>
      <w:r w:rsidRPr="00471AE7">
        <w:rPr>
          <w:rStyle w:val="FootnoteReference"/>
        </w:rPr>
        <w:footnoteRef/>
      </w:r>
      <w:r w:rsidRPr="00471AE7">
        <w:t xml:space="preserve"> </w:t>
      </w:r>
      <w:r w:rsidRPr="00471AE7">
        <w:rPr>
          <w:color w:val="000000" w:themeColor="text1"/>
          <w:lang w:val="en-US"/>
        </w:rPr>
        <w:t xml:space="preserve">Komorek (n 6) 99.  </w:t>
      </w:r>
    </w:p>
  </w:footnote>
  <w:footnote w:id="51">
    <w:p w:rsidR="005F4C2E" w:rsidRPr="00471AE7" w:rsidRDefault="005F4C2E" w:rsidP="000B0400">
      <w:pPr>
        <w:pStyle w:val="FootnoteText"/>
        <w:spacing w:before="120" w:after="120"/>
        <w:jc w:val="both"/>
      </w:pPr>
      <w:r w:rsidRPr="00471AE7">
        <w:rPr>
          <w:rStyle w:val="FootnoteReference"/>
        </w:rPr>
        <w:footnoteRef/>
      </w:r>
      <w:r w:rsidRPr="00471AE7">
        <w:t xml:space="preserve"> ibid 57. </w:t>
      </w:r>
    </w:p>
  </w:footnote>
  <w:footnote w:id="52">
    <w:p w:rsidR="005F4C2E" w:rsidRPr="00471AE7" w:rsidRDefault="005F4C2E" w:rsidP="000B0400">
      <w:pPr>
        <w:spacing w:before="120" w:after="120"/>
        <w:jc w:val="both"/>
        <w:rPr>
          <w:sz w:val="20"/>
          <w:szCs w:val="20"/>
        </w:rPr>
      </w:pPr>
      <w:r w:rsidRPr="00471AE7">
        <w:rPr>
          <w:rStyle w:val="FootnoteReference"/>
          <w:sz w:val="20"/>
          <w:szCs w:val="20"/>
        </w:rPr>
        <w:footnoteRef/>
      </w:r>
      <w:r w:rsidRPr="00471AE7">
        <w:rPr>
          <w:sz w:val="20"/>
          <w:szCs w:val="20"/>
        </w:rPr>
        <w:t xml:space="preserve"> </w:t>
      </w:r>
      <w:r w:rsidRPr="00471AE7">
        <w:rPr>
          <w:sz w:val="20"/>
          <w:szCs w:val="20"/>
          <w:lang w:val="en-US"/>
        </w:rPr>
        <w:t>Commission of the European Communities, ‘Case No IV/M.423 – Newspaper Publishing’ (14 March 1994).</w:t>
      </w:r>
    </w:p>
  </w:footnote>
  <w:footnote w:id="53">
    <w:p w:rsidR="005F4C2E" w:rsidRPr="00471AE7" w:rsidRDefault="005F4C2E" w:rsidP="000B0400">
      <w:pPr>
        <w:pStyle w:val="FootnoteText"/>
        <w:spacing w:before="120" w:after="120"/>
        <w:jc w:val="both"/>
      </w:pPr>
      <w:r w:rsidRPr="00471AE7">
        <w:rPr>
          <w:rStyle w:val="FootnoteReference"/>
        </w:rPr>
        <w:footnoteRef/>
      </w:r>
      <w:r w:rsidRPr="00471AE7">
        <w:t xml:space="preserve"> ibid paras 1-2 and 22-24. </w:t>
      </w:r>
    </w:p>
  </w:footnote>
  <w:footnote w:id="54">
    <w:p w:rsidR="005F4C2E" w:rsidRPr="00471AE7" w:rsidRDefault="005F4C2E" w:rsidP="000B0400">
      <w:pPr>
        <w:pStyle w:val="FootnoteText"/>
        <w:spacing w:before="120" w:after="120"/>
        <w:jc w:val="both"/>
      </w:pPr>
      <w:r w:rsidRPr="00471AE7">
        <w:rPr>
          <w:rStyle w:val="FootnoteReference"/>
        </w:rPr>
        <w:footnoteRef/>
      </w:r>
      <w:r w:rsidRPr="00471AE7">
        <w:t xml:space="preserve"> </w:t>
      </w:r>
      <w:r w:rsidRPr="00471AE7">
        <w:rPr>
          <w:color w:val="000000" w:themeColor="text1"/>
          <w:lang w:val="en-US"/>
        </w:rPr>
        <w:t xml:space="preserve">Komorek (n 6) 116-117.  </w:t>
      </w:r>
    </w:p>
  </w:footnote>
  <w:footnote w:id="55">
    <w:p w:rsidR="005F4C2E" w:rsidRPr="00471AE7" w:rsidRDefault="005F4C2E" w:rsidP="000B0400">
      <w:pPr>
        <w:pStyle w:val="FootnoteText"/>
        <w:spacing w:before="120" w:after="120"/>
        <w:jc w:val="both"/>
      </w:pPr>
      <w:r w:rsidRPr="00471AE7">
        <w:rPr>
          <w:rStyle w:val="FootnoteReference"/>
        </w:rPr>
        <w:footnoteRef/>
      </w:r>
      <w:r w:rsidRPr="00471AE7">
        <w:t xml:space="preserve"> ibid. </w:t>
      </w:r>
    </w:p>
  </w:footnote>
  <w:footnote w:id="56">
    <w:p w:rsidR="005F4C2E" w:rsidRPr="00471AE7" w:rsidRDefault="005F4C2E" w:rsidP="000B0400">
      <w:pPr>
        <w:pStyle w:val="FootnoteText"/>
        <w:spacing w:before="120" w:after="120"/>
        <w:jc w:val="both"/>
      </w:pPr>
      <w:r w:rsidRPr="00471AE7">
        <w:rPr>
          <w:rStyle w:val="FootnoteReference"/>
        </w:rPr>
        <w:footnoteRef/>
      </w:r>
      <w:r w:rsidRPr="00471AE7">
        <w:t xml:space="preserve"> ibid 135-136. </w:t>
      </w:r>
    </w:p>
  </w:footnote>
  <w:footnote w:id="57">
    <w:p w:rsidR="005F4C2E" w:rsidRDefault="005F4C2E" w:rsidP="000B0400">
      <w:pPr>
        <w:pStyle w:val="FootnoteText"/>
        <w:spacing w:before="120" w:after="120"/>
        <w:jc w:val="both"/>
      </w:pPr>
      <w:r w:rsidRPr="00471AE7">
        <w:rPr>
          <w:rStyle w:val="FootnoteReference"/>
        </w:rPr>
        <w:footnoteRef/>
      </w:r>
      <w:r w:rsidRPr="00471AE7">
        <w:t xml:space="preserve"> </w:t>
      </w:r>
      <w:r w:rsidRPr="00471AE7">
        <w:rPr>
          <w:color w:val="000000" w:themeColor="text1"/>
          <w:lang w:val="en-US"/>
        </w:rPr>
        <w:t>Pires (n 8) 281.</w:t>
      </w:r>
    </w:p>
  </w:footnote>
  <w:footnote w:id="58">
    <w:p w:rsidR="005F4C2E" w:rsidRPr="0083578E" w:rsidRDefault="005F4C2E" w:rsidP="006C25CE">
      <w:pPr>
        <w:pStyle w:val="FootnoteText"/>
        <w:spacing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SGI, </w:t>
      </w:r>
      <w:r w:rsidRPr="0083578E">
        <w:rPr>
          <w:i/>
          <w:color w:val="000000" w:themeColor="text1"/>
          <w:lang w:val="en-US"/>
        </w:rPr>
        <w:t xml:space="preserve">Access to Information Report </w:t>
      </w:r>
      <w:r w:rsidRPr="0083578E">
        <w:rPr>
          <w:rFonts w:asciiTheme="majorHAnsi" w:hAnsiTheme="majorHAnsi" w:cstheme="majorHAnsi"/>
          <w:color w:val="000000" w:themeColor="text1"/>
          <w:lang w:val="en-US"/>
        </w:rPr>
        <w:t>[2019] 35-65.</w:t>
      </w:r>
    </w:p>
  </w:footnote>
  <w:footnote w:id="59">
    <w:p w:rsidR="005F4C2E" w:rsidRPr="0083578E" w:rsidRDefault="005F4C2E" w:rsidP="00362B06">
      <w:pPr>
        <w:spacing w:before="120" w:after="120"/>
        <w:jc w:val="both"/>
        <w:rPr>
          <w:color w:val="000000" w:themeColor="text1"/>
          <w:sz w:val="20"/>
          <w:szCs w:val="20"/>
          <w:lang w:val="en-US"/>
        </w:rPr>
      </w:pPr>
      <w:r w:rsidRPr="0083578E">
        <w:rPr>
          <w:rStyle w:val="FootnoteReference"/>
          <w:color w:val="000000" w:themeColor="text1"/>
          <w:sz w:val="20"/>
          <w:szCs w:val="20"/>
          <w:lang w:val="en-US"/>
        </w:rPr>
        <w:footnoteRef/>
      </w:r>
      <w:r w:rsidRPr="0083578E">
        <w:rPr>
          <w:color w:val="000000" w:themeColor="text1"/>
          <w:sz w:val="20"/>
          <w:szCs w:val="20"/>
          <w:lang w:val="en-US"/>
        </w:rPr>
        <w:t xml:space="preserve"> See &lt;</w:t>
      </w:r>
      <w:hyperlink r:id="rId7" w:history="1">
        <w:r w:rsidRPr="0083578E">
          <w:rPr>
            <w:color w:val="000000" w:themeColor="text1"/>
            <w:sz w:val="20"/>
            <w:szCs w:val="20"/>
            <w:u w:val="single"/>
            <w:lang w:val="en-US"/>
          </w:rPr>
          <w:t>www.sgi-network.org/2019/Democracy/Quality_of_Democracy/Access_to_Information</w:t>
        </w:r>
      </w:hyperlink>
      <w:r w:rsidRPr="0083578E">
        <w:rPr>
          <w:color w:val="000000" w:themeColor="text1"/>
          <w:sz w:val="20"/>
          <w:szCs w:val="20"/>
          <w:lang w:val="en-US"/>
        </w:rPr>
        <w:t xml:space="preserve">&gt; accessed </w:t>
      </w:r>
      <w:r w:rsidRPr="0083578E">
        <w:rPr>
          <w:rFonts w:asciiTheme="majorHAnsi" w:hAnsiTheme="majorHAnsi" w:cstheme="majorHAnsi"/>
          <w:color w:val="000000" w:themeColor="text1"/>
          <w:sz w:val="20"/>
          <w:szCs w:val="20"/>
          <w:lang w:val="en-US"/>
        </w:rPr>
        <w:t>2 May 2020.</w:t>
      </w:r>
    </w:p>
  </w:footnote>
  <w:footnote w:id="60">
    <w:p w:rsidR="005F4C2E" w:rsidRPr="0083578E" w:rsidRDefault="005F4C2E" w:rsidP="00362B06">
      <w:pPr>
        <w:pStyle w:val="FootnoteText"/>
        <w:spacing w:before="120"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Komorek (n 6) 152.  </w:t>
      </w:r>
    </w:p>
  </w:footnote>
  <w:footnote w:id="61">
    <w:p w:rsidR="005F4C2E" w:rsidRPr="0083578E" w:rsidRDefault="005F4C2E" w:rsidP="00362B06">
      <w:pPr>
        <w:pStyle w:val="FootnoteText"/>
        <w:spacing w:before="120"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AVMSD recitals 33-34. </w:t>
      </w:r>
    </w:p>
  </w:footnote>
  <w:footnote w:id="62">
    <w:p w:rsidR="005F4C2E" w:rsidRPr="00456F88" w:rsidRDefault="005F4C2E" w:rsidP="00362B06">
      <w:pPr>
        <w:pStyle w:val="FootnoteText"/>
        <w:spacing w:before="120"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COBA, ‘Promoting Growth, Pluralism and Choice’ </w:t>
      </w:r>
      <w:r w:rsidRPr="0083578E">
        <w:rPr>
          <w:rFonts w:asciiTheme="majorHAnsi" w:hAnsiTheme="majorHAnsi" w:cstheme="majorHAnsi"/>
          <w:color w:val="000000" w:themeColor="text1"/>
          <w:lang w:val="en-US"/>
        </w:rPr>
        <w:t>[2016] 4-5.</w:t>
      </w:r>
    </w:p>
  </w:footnote>
  <w:footnote w:id="63">
    <w:p w:rsidR="005F4C2E" w:rsidRPr="00456F88" w:rsidRDefault="005F4C2E" w:rsidP="006C25CE">
      <w:pPr>
        <w:pStyle w:val="FootnoteText"/>
        <w:spacing w:after="120"/>
        <w:jc w:val="both"/>
        <w:rPr>
          <w:color w:val="000000" w:themeColor="text1"/>
          <w:lang w:val="en-US"/>
        </w:rPr>
      </w:pPr>
      <w:r w:rsidRPr="00456F88">
        <w:rPr>
          <w:rStyle w:val="FootnoteReference"/>
          <w:color w:val="000000" w:themeColor="text1"/>
          <w:lang w:val="en-US"/>
        </w:rPr>
        <w:footnoteRef/>
      </w:r>
      <w:r w:rsidRPr="00456F88">
        <w:rPr>
          <w:color w:val="000000" w:themeColor="text1"/>
          <w:lang w:val="en-US"/>
        </w:rPr>
        <w:t xml:space="preserve"> Zsolt Kokoly, ‘The Anti-Circumvention Procedure in the AVMSD’ </w:t>
      </w:r>
      <w:r w:rsidRPr="00456F88">
        <w:rPr>
          <w:rFonts w:asciiTheme="majorHAnsi" w:hAnsiTheme="majorHAnsi" w:cstheme="majorHAnsi"/>
          <w:color w:val="000000" w:themeColor="text1"/>
          <w:lang w:val="en-US"/>
        </w:rPr>
        <w:t>[2019] 8(1) Acta Univ. Sapientiae LS 43.</w:t>
      </w:r>
    </w:p>
  </w:footnote>
  <w:footnote w:id="64">
    <w:p w:rsidR="005F4C2E" w:rsidRPr="003B4665" w:rsidRDefault="005F4C2E" w:rsidP="00362B06">
      <w:pPr>
        <w:pStyle w:val="FootnoteText"/>
        <w:spacing w:before="120" w:after="120"/>
        <w:jc w:val="both"/>
        <w:rPr>
          <w:lang w:val="en-US"/>
        </w:rPr>
      </w:pPr>
      <w:r w:rsidRPr="00456F88">
        <w:rPr>
          <w:rStyle w:val="FootnoteReference"/>
          <w:color w:val="000000" w:themeColor="text1"/>
          <w:lang w:val="en-US"/>
        </w:rPr>
        <w:footnoteRef/>
      </w:r>
      <w:r w:rsidRPr="00456F88">
        <w:rPr>
          <w:color w:val="000000" w:themeColor="text1"/>
          <w:lang w:val="en-US"/>
        </w:rPr>
        <w:t xml:space="preserve"> Andris Mellkauls, ‘The AVMSD and Propaganda’ </w:t>
      </w:r>
      <w:r w:rsidRPr="00456F88">
        <w:rPr>
          <w:rFonts w:asciiTheme="majorHAnsi" w:hAnsiTheme="majorHAnsi" w:cstheme="majorHAnsi"/>
          <w:color w:val="000000" w:themeColor="text1"/>
          <w:lang w:val="en-US"/>
        </w:rPr>
        <w:t>[2016] 76.</w:t>
      </w:r>
    </w:p>
  </w:footnote>
  <w:footnote w:id="65">
    <w:p w:rsidR="005F4C2E" w:rsidRPr="00F1730A" w:rsidRDefault="005F4C2E" w:rsidP="00922AB4">
      <w:pPr>
        <w:pStyle w:val="FootnoteText"/>
        <w:spacing w:before="120" w:after="120"/>
        <w:jc w:val="both"/>
      </w:pPr>
      <w:r w:rsidRPr="00F1730A">
        <w:rPr>
          <w:rStyle w:val="FootnoteReference"/>
          <w:lang w:val="en-US"/>
        </w:rPr>
        <w:footnoteRef/>
      </w:r>
      <w:r w:rsidRPr="00F1730A">
        <w:rPr>
          <w:lang w:val="en-US"/>
        </w:rPr>
        <w:t xml:space="preserve"> Andres Joesaar, ‘One Country, Two Polarised Audiences: Estonia and the Deficiency of the AVMSD’ 3(4) MC 45-50.</w:t>
      </w:r>
    </w:p>
  </w:footnote>
  <w:footnote w:id="66">
    <w:p w:rsidR="005F4C2E" w:rsidRPr="00F1730A" w:rsidRDefault="005F4C2E" w:rsidP="00922AB4">
      <w:pPr>
        <w:pStyle w:val="FootnoteText"/>
        <w:spacing w:before="120" w:after="120"/>
        <w:jc w:val="both"/>
      </w:pPr>
      <w:r w:rsidRPr="00F1730A">
        <w:rPr>
          <w:rStyle w:val="FootnoteReference"/>
        </w:rPr>
        <w:footnoteRef/>
      </w:r>
      <w:r w:rsidRPr="00F1730A">
        <w:t xml:space="preserve"> </w:t>
      </w:r>
      <w:r w:rsidRPr="00F1730A">
        <w:rPr>
          <w:rFonts w:asciiTheme="majorHAnsi" w:hAnsiTheme="majorHAnsi" w:cstheme="majorHAnsi"/>
          <w:color w:val="000000" w:themeColor="text1"/>
          <w:shd w:val="clear" w:color="auto" w:fill="FFFFFF"/>
          <w:lang w:val="en-US"/>
        </w:rPr>
        <w:t xml:space="preserve">Directive 2018/1808 of 14 November 2018 amending AMSD in view of changing market realities </w:t>
      </w:r>
      <w:r w:rsidRPr="00F1730A">
        <w:rPr>
          <w:rFonts w:asciiTheme="majorHAnsi" w:hAnsiTheme="majorHAnsi" w:cstheme="majorHAnsi"/>
          <w:color w:val="000000" w:themeColor="text1"/>
          <w:lang w:val="en-US"/>
        </w:rPr>
        <w:t>[2018] OJ L 303/69.</w:t>
      </w:r>
    </w:p>
  </w:footnote>
  <w:footnote w:id="67">
    <w:p w:rsidR="005F4C2E" w:rsidRPr="00F1730A" w:rsidRDefault="005F4C2E" w:rsidP="00922AB4">
      <w:pPr>
        <w:pStyle w:val="FootnoteText"/>
        <w:spacing w:before="120" w:after="120"/>
        <w:jc w:val="both"/>
      </w:pPr>
      <w:r w:rsidRPr="00F1730A">
        <w:rPr>
          <w:rStyle w:val="FootnoteReference"/>
        </w:rPr>
        <w:footnoteRef/>
      </w:r>
      <w:r w:rsidRPr="00F1730A">
        <w:t xml:space="preserve"> </w:t>
      </w:r>
      <w:r w:rsidRPr="00F1730A">
        <w:rPr>
          <w:lang w:val="en-US"/>
        </w:rPr>
        <w:t>Kokoly (n 63) 45.</w:t>
      </w:r>
    </w:p>
  </w:footnote>
  <w:footnote w:id="68">
    <w:p w:rsidR="005F4C2E" w:rsidRPr="00F1730A" w:rsidRDefault="005F4C2E" w:rsidP="00715B38">
      <w:pPr>
        <w:pStyle w:val="FootnoteText"/>
        <w:spacing w:before="120" w:after="120"/>
        <w:jc w:val="both"/>
      </w:pPr>
      <w:r w:rsidRPr="00F1730A">
        <w:rPr>
          <w:rStyle w:val="FootnoteReference"/>
        </w:rPr>
        <w:footnoteRef/>
      </w:r>
      <w:r w:rsidRPr="00F1730A">
        <w:t xml:space="preserve"> AVMSD article 5(2).</w:t>
      </w:r>
    </w:p>
  </w:footnote>
  <w:footnote w:id="69">
    <w:p w:rsidR="005F4C2E" w:rsidRPr="00F1730A" w:rsidRDefault="005F4C2E" w:rsidP="00715B38">
      <w:pPr>
        <w:pStyle w:val="FootnoteText"/>
        <w:spacing w:before="120" w:after="120"/>
        <w:jc w:val="both"/>
      </w:pPr>
      <w:r w:rsidRPr="00F1730A">
        <w:rPr>
          <w:rStyle w:val="FootnoteReference"/>
        </w:rPr>
        <w:footnoteRef/>
      </w:r>
      <w:r w:rsidRPr="00F1730A">
        <w:t xml:space="preserve"> AVMSD article 30(1).</w:t>
      </w:r>
    </w:p>
  </w:footnote>
  <w:footnote w:id="70">
    <w:p w:rsidR="005F4C2E" w:rsidRPr="0083578E" w:rsidRDefault="005F4C2E" w:rsidP="006C25CE">
      <w:pPr>
        <w:pStyle w:val="FootnoteText"/>
        <w:spacing w:after="120"/>
        <w:jc w:val="both"/>
      </w:pPr>
      <w:r w:rsidRPr="0083578E">
        <w:rPr>
          <w:rStyle w:val="FootnoteReference"/>
        </w:rPr>
        <w:footnoteRef/>
      </w:r>
      <w:r w:rsidRPr="0083578E">
        <w:t xml:space="preserve"> AVMSD article 30(2).</w:t>
      </w:r>
    </w:p>
  </w:footnote>
  <w:footnote w:id="71">
    <w:p w:rsidR="005F4C2E" w:rsidRPr="0083578E" w:rsidRDefault="005F4C2E" w:rsidP="00715B38">
      <w:pPr>
        <w:pStyle w:val="FootnoteText"/>
        <w:spacing w:before="120"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Komorek (n 6) 170-171.  </w:t>
      </w:r>
    </w:p>
  </w:footnote>
  <w:footnote w:id="72">
    <w:p w:rsidR="005F4C2E" w:rsidRPr="0083578E" w:rsidRDefault="005F4C2E" w:rsidP="00715B38">
      <w:pPr>
        <w:pStyle w:val="FootnoteText"/>
        <w:spacing w:before="120" w:after="120"/>
        <w:jc w:val="both"/>
      </w:pPr>
      <w:r w:rsidRPr="0083578E">
        <w:rPr>
          <w:rStyle w:val="FootnoteReference"/>
        </w:rPr>
        <w:footnoteRef/>
      </w:r>
      <w:r w:rsidRPr="0083578E">
        <w:t xml:space="preserve"> AVMSD article 14.</w:t>
      </w:r>
    </w:p>
  </w:footnote>
  <w:footnote w:id="73">
    <w:p w:rsidR="005F4C2E" w:rsidRPr="0083578E" w:rsidRDefault="005F4C2E" w:rsidP="00715B38">
      <w:pPr>
        <w:spacing w:before="120" w:after="120"/>
        <w:jc w:val="both"/>
        <w:rPr>
          <w:sz w:val="20"/>
          <w:szCs w:val="20"/>
          <w:lang w:val="en-US"/>
        </w:rPr>
      </w:pPr>
      <w:r w:rsidRPr="0083578E">
        <w:rPr>
          <w:rStyle w:val="FootnoteReference"/>
          <w:color w:val="000000" w:themeColor="text1"/>
          <w:sz w:val="20"/>
          <w:szCs w:val="20"/>
          <w:lang w:val="en-US"/>
        </w:rPr>
        <w:footnoteRef/>
      </w:r>
      <w:r w:rsidRPr="0083578E">
        <w:rPr>
          <w:color w:val="000000" w:themeColor="text1"/>
          <w:sz w:val="20"/>
          <w:szCs w:val="20"/>
          <w:lang w:val="en-US"/>
        </w:rPr>
        <w:t xml:space="preserve"> EC, ‘AVMSD – List of Major Events’ </w:t>
      </w:r>
      <w:r w:rsidRPr="0083578E">
        <w:rPr>
          <w:rFonts w:asciiTheme="majorHAnsi" w:hAnsiTheme="majorHAnsi" w:cstheme="majorHAnsi"/>
          <w:color w:val="000000" w:themeColor="text1"/>
          <w:sz w:val="20"/>
          <w:szCs w:val="20"/>
          <w:lang w:val="en-US"/>
        </w:rPr>
        <w:t>&lt;</w:t>
      </w:r>
      <w:hyperlink r:id="rId8" w:history="1">
        <w:r w:rsidRPr="0083578E">
          <w:rPr>
            <w:color w:val="000000" w:themeColor="text1"/>
            <w:sz w:val="20"/>
            <w:szCs w:val="20"/>
            <w:u w:val="single"/>
            <w:lang w:val="en-US"/>
          </w:rPr>
          <w:t>https://ec.europa.eu/digital-single-market/avmsd-list-major-events</w:t>
        </w:r>
      </w:hyperlink>
      <w:r w:rsidRPr="0083578E">
        <w:rPr>
          <w:rFonts w:asciiTheme="majorHAnsi" w:hAnsiTheme="majorHAnsi" w:cstheme="majorHAnsi"/>
          <w:color w:val="000000" w:themeColor="text1"/>
          <w:sz w:val="20"/>
          <w:szCs w:val="20"/>
          <w:lang w:val="en-US"/>
        </w:rPr>
        <w:t xml:space="preserve">&gt; accessed </w:t>
      </w:r>
      <w:r w:rsidRPr="0083578E">
        <w:rPr>
          <w:rFonts w:asciiTheme="majorHAnsi" w:eastAsiaTheme="majorEastAsia" w:hAnsiTheme="majorHAnsi" w:cstheme="majorHAnsi"/>
          <w:color w:val="000000" w:themeColor="text1"/>
          <w:sz w:val="20"/>
          <w:szCs w:val="20"/>
          <w:lang w:val="en-US"/>
        </w:rPr>
        <w:t>30 April 2020.</w:t>
      </w:r>
    </w:p>
  </w:footnote>
  <w:footnote w:id="74">
    <w:p w:rsidR="005F4C2E" w:rsidRPr="0083578E" w:rsidRDefault="005F4C2E" w:rsidP="00715B38">
      <w:pPr>
        <w:pStyle w:val="FootnoteText"/>
        <w:spacing w:before="120" w:after="120"/>
        <w:jc w:val="both"/>
        <w:rPr>
          <w:lang w:val="en-US"/>
        </w:rPr>
      </w:pPr>
      <w:r w:rsidRPr="0083578E">
        <w:rPr>
          <w:rStyle w:val="FootnoteReference"/>
          <w:lang w:val="en-US"/>
        </w:rPr>
        <w:footnoteRef/>
      </w:r>
      <w:r w:rsidRPr="0083578E">
        <w:rPr>
          <w:lang w:val="en-US"/>
        </w:rPr>
        <w:t xml:space="preserve"> AVMSD recital 69. </w:t>
      </w:r>
    </w:p>
  </w:footnote>
  <w:footnote w:id="75">
    <w:p w:rsidR="005F4C2E" w:rsidRPr="0083578E" w:rsidRDefault="005F4C2E" w:rsidP="00715B38">
      <w:pPr>
        <w:pStyle w:val="FootnoteText"/>
        <w:spacing w:before="120" w:after="120"/>
        <w:jc w:val="both"/>
      </w:pPr>
      <w:r w:rsidRPr="0083578E">
        <w:rPr>
          <w:rStyle w:val="FootnoteReference"/>
          <w:lang w:val="en-US"/>
        </w:rPr>
        <w:footnoteRef/>
      </w:r>
      <w:r w:rsidRPr="0083578E">
        <w:rPr>
          <w:lang w:val="en-US"/>
        </w:rPr>
        <w:t xml:space="preserve"> This rule is lighter for on-demand audiovisual media services (30% share of European Works in their catalogues) See AVMSD article 13.</w:t>
      </w:r>
    </w:p>
  </w:footnote>
  <w:footnote w:id="76">
    <w:p w:rsidR="005F4C2E" w:rsidRPr="0083578E" w:rsidRDefault="005F4C2E" w:rsidP="00122735">
      <w:pPr>
        <w:spacing w:before="120" w:after="120"/>
        <w:jc w:val="both"/>
        <w:rPr>
          <w:color w:val="000000" w:themeColor="text1"/>
          <w:sz w:val="20"/>
          <w:szCs w:val="20"/>
          <w:lang w:val="en-US"/>
        </w:rPr>
      </w:pPr>
      <w:r w:rsidRPr="0083578E">
        <w:rPr>
          <w:rStyle w:val="FootnoteReference"/>
          <w:color w:val="000000" w:themeColor="text1"/>
          <w:sz w:val="20"/>
          <w:szCs w:val="20"/>
          <w:lang w:val="en-US"/>
        </w:rPr>
        <w:footnoteRef/>
      </w:r>
      <w:r w:rsidRPr="0083578E">
        <w:rPr>
          <w:color w:val="000000" w:themeColor="text1"/>
          <w:sz w:val="20"/>
          <w:szCs w:val="20"/>
          <w:lang w:val="en-US"/>
        </w:rPr>
        <w:t xml:space="preserve"> EC, ‘Monitoring Media Pluralism in the Digital Era’ </w:t>
      </w:r>
      <w:r w:rsidRPr="0083578E">
        <w:rPr>
          <w:rFonts w:asciiTheme="majorHAnsi" w:hAnsiTheme="majorHAnsi" w:cstheme="majorHAnsi"/>
          <w:color w:val="000000" w:themeColor="text1"/>
          <w:sz w:val="20"/>
          <w:szCs w:val="20"/>
          <w:lang w:val="en-US"/>
        </w:rPr>
        <w:t>&lt;</w:t>
      </w:r>
      <w:hyperlink r:id="rId9" w:history="1">
        <w:r w:rsidRPr="0083578E">
          <w:rPr>
            <w:color w:val="000000" w:themeColor="text1"/>
            <w:sz w:val="20"/>
            <w:szCs w:val="20"/>
            <w:u w:val="single"/>
            <w:lang w:val="en-US"/>
          </w:rPr>
          <w:t>https://ec.europa.eu/digital-single-market/en/media-pluralism-monitor-mpm</w:t>
        </w:r>
      </w:hyperlink>
      <w:r w:rsidRPr="0083578E">
        <w:rPr>
          <w:rFonts w:asciiTheme="majorHAnsi" w:hAnsiTheme="majorHAnsi" w:cstheme="majorHAnsi"/>
          <w:color w:val="000000" w:themeColor="text1"/>
          <w:sz w:val="20"/>
          <w:szCs w:val="20"/>
          <w:lang w:val="en-US"/>
        </w:rPr>
        <w:t xml:space="preserve">&gt; accessed </w:t>
      </w:r>
      <w:r w:rsidRPr="0083578E">
        <w:rPr>
          <w:rFonts w:asciiTheme="majorHAnsi" w:eastAsiaTheme="majorEastAsia" w:hAnsiTheme="majorHAnsi" w:cstheme="majorHAnsi"/>
          <w:color w:val="000000" w:themeColor="text1"/>
          <w:sz w:val="20"/>
          <w:szCs w:val="20"/>
          <w:lang w:val="en-US"/>
        </w:rPr>
        <w:t>27 April 2020.</w:t>
      </w:r>
    </w:p>
  </w:footnote>
  <w:footnote w:id="77">
    <w:p w:rsidR="005F4C2E" w:rsidRPr="008E49F2" w:rsidRDefault="005F4C2E" w:rsidP="00122735">
      <w:pPr>
        <w:pStyle w:val="FootnoteText"/>
        <w:spacing w:before="120"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Peggy Valcke and others, ‘Independent Study on Indicators for Media Pluralism in the Member States’ </w:t>
      </w:r>
      <w:r w:rsidRPr="0083578E">
        <w:rPr>
          <w:rFonts w:asciiTheme="majorHAnsi" w:hAnsiTheme="majorHAnsi" w:cstheme="majorHAnsi"/>
          <w:color w:val="000000" w:themeColor="text1"/>
          <w:lang w:val="en-US"/>
        </w:rPr>
        <w:t>[2009] vii.</w:t>
      </w:r>
    </w:p>
  </w:footnote>
  <w:footnote w:id="78">
    <w:p w:rsidR="005F4C2E" w:rsidRPr="0083578E" w:rsidRDefault="005F4C2E" w:rsidP="006C25CE">
      <w:pPr>
        <w:pStyle w:val="FootnoteText"/>
        <w:spacing w:after="120"/>
        <w:jc w:val="both"/>
        <w:rPr>
          <w:color w:val="000000" w:themeColor="text1"/>
          <w:lang w:val="en-US"/>
        </w:rPr>
      </w:pPr>
      <w:r w:rsidRPr="0083578E">
        <w:rPr>
          <w:rStyle w:val="FootnoteReference"/>
          <w:color w:val="000000" w:themeColor="text1"/>
          <w:lang w:val="en-US"/>
        </w:rPr>
        <w:footnoteRef/>
      </w:r>
      <w:r w:rsidRPr="0083578E">
        <w:rPr>
          <w:color w:val="000000" w:themeColor="text1"/>
          <w:lang w:val="en-US"/>
        </w:rPr>
        <w:t xml:space="preserve"> Peggy Valcke and others, ‘The MPM: Bridging Law, Economics and Media Studies as a First Step towards Risk-Based Regulation in Media Markets’ </w:t>
      </w:r>
      <w:r w:rsidRPr="0083578E">
        <w:rPr>
          <w:rFonts w:asciiTheme="majorHAnsi" w:hAnsiTheme="majorHAnsi" w:cstheme="majorHAnsi"/>
          <w:color w:val="000000" w:themeColor="text1"/>
          <w:lang w:val="en-US"/>
        </w:rPr>
        <w:t>[2010] 2(1) JML 85-86.</w:t>
      </w:r>
    </w:p>
  </w:footnote>
  <w:footnote w:id="79">
    <w:p w:rsidR="005F4C2E" w:rsidRPr="005477F5" w:rsidRDefault="005F4C2E" w:rsidP="00122735">
      <w:pPr>
        <w:pStyle w:val="FootnoteText"/>
        <w:spacing w:before="120" w:after="120"/>
        <w:jc w:val="both"/>
        <w:rPr>
          <w:color w:val="000000" w:themeColor="text1"/>
          <w:lang w:val="pl-PL"/>
        </w:rPr>
      </w:pPr>
      <w:r w:rsidRPr="0083578E">
        <w:rPr>
          <w:rStyle w:val="FootnoteReference"/>
          <w:color w:val="000000" w:themeColor="text1"/>
          <w:lang w:val="en-US"/>
        </w:rPr>
        <w:footnoteRef/>
      </w:r>
      <w:r w:rsidRPr="005477F5">
        <w:rPr>
          <w:color w:val="000000" w:themeColor="text1"/>
          <w:lang w:val="pl-PL"/>
        </w:rPr>
        <w:t xml:space="preserve"> Komorek (n 6) 274.  </w:t>
      </w:r>
    </w:p>
  </w:footnote>
  <w:footnote w:id="80">
    <w:p w:rsidR="005F4C2E" w:rsidRPr="005477F5" w:rsidRDefault="005F4C2E" w:rsidP="00122735">
      <w:pPr>
        <w:pStyle w:val="FootnoteText"/>
        <w:spacing w:before="120" w:after="120"/>
        <w:jc w:val="both"/>
        <w:rPr>
          <w:color w:val="000000" w:themeColor="text1"/>
          <w:lang w:val="pl-PL"/>
        </w:rPr>
      </w:pPr>
      <w:r w:rsidRPr="0083578E">
        <w:rPr>
          <w:rStyle w:val="FootnoteReference"/>
          <w:color w:val="000000" w:themeColor="text1"/>
          <w:lang w:val="en-US"/>
        </w:rPr>
        <w:footnoteRef/>
      </w:r>
      <w:r w:rsidRPr="005477F5">
        <w:rPr>
          <w:color w:val="000000" w:themeColor="text1"/>
          <w:lang w:val="pl-PL"/>
        </w:rPr>
        <w:t xml:space="preserve"> EC (n 76). </w:t>
      </w:r>
    </w:p>
  </w:footnote>
  <w:footnote w:id="81">
    <w:p w:rsidR="005F4C2E" w:rsidRPr="005477F5" w:rsidRDefault="005F4C2E" w:rsidP="00122735">
      <w:pPr>
        <w:pStyle w:val="FootnoteText"/>
        <w:spacing w:before="120" w:after="120"/>
        <w:jc w:val="both"/>
        <w:rPr>
          <w:color w:val="000000" w:themeColor="text1"/>
          <w:lang w:val="pl-PL"/>
        </w:rPr>
      </w:pPr>
      <w:r w:rsidRPr="0083578E">
        <w:rPr>
          <w:rStyle w:val="FootnoteReference"/>
          <w:color w:val="000000" w:themeColor="text1"/>
          <w:lang w:val="en-US"/>
        </w:rPr>
        <w:footnoteRef/>
      </w:r>
      <w:r w:rsidRPr="005477F5">
        <w:rPr>
          <w:color w:val="000000" w:themeColor="text1"/>
          <w:lang w:val="pl-PL"/>
        </w:rPr>
        <w:t xml:space="preserve"> ibid.</w:t>
      </w:r>
    </w:p>
  </w:footnote>
  <w:footnote w:id="82">
    <w:p w:rsidR="005F4C2E" w:rsidRPr="0083578E" w:rsidRDefault="005F4C2E" w:rsidP="00122735">
      <w:pPr>
        <w:pStyle w:val="FootnoteText"/>
        <w:spacing w:before="120" w:after="120"/>
        <w:jc w:val="both"/>
        <w:rPr>
          <w:color w:val="000000" w:themeColor="text1"/>
        </w:rPr>
      </w:pPr>
      <w:r w:rsidRPr="0083578E">
        <w:rPr>
          <w:rStyle w:val="FootnoteReference"/>
          <w:color w:val="000000" w:themeColor="text1"/>
          <w:lang w:val="en-US"/>
        </w:rPr>
        <w:footnoteRef/>
      </w:r>
      <w:r w:rsidRPr="0083578E">
        <w:rPr>
          <w:color w:val="000000" w:themeColor="text1"/>
          <w:lang w:val="en-US"/>
        </w:rPr>
        <w:t xml:space="preserve"> CMPF, ‘Monitoring Media Pluralism in Europe: Application of the MPM 2017 in the EU, FYROM, Serbia &amp; Turkey’ </w:t>
      </w:r>
      <w:r w:rsidRPr="0083578E">
        <w:rPr>
          <w:rFonts w:asciiTheme="majorHAnsi" w:hAnsiTheme="majorHAnsi" w:cstheme="majorHAnsi"/>
          <w:color w:val="000000" w:themeColor="text1"/>
          <w:lang w:val="en-US"/>
        </w:rPr>
        <w:t>[2018] 1-2.</w:t>
      </w:r>
    </w:p>
  </w:footnote>
  <w:footnote w:id="83">
    <w:p w:rsidR="005F4C2E" w:rsidRPr="0083578E" w:rsidRDefault="005F4C2E" w:rsidP="00122735">
      <w:pPr>
        <w:pStyle w:val="FootnoteText"/>
        <w:spacing w:before="120" w:after="120"/>
        <w:jc w:val="both"/>
        <w:rPr>
          <w:color w:val="000000" w:themeColor="text1"/>
        </w:rPr>
      </w:pPr>
      <w:r w:rsidRPr="0083578E">
        <w:rPr>
          <w:rStyle w:val="FootnoteReference"/>
          <w:color w:val="000000" w:themeColor="text1"/>
        </w:rPr>
        <w:footnoteRef/>
      </w:r>
      <w:r w:rsidRPr="0083578E">
        <w:rPr>
          <w:color w:val="000000" w:themeColor="text1"/>
        </w:rPr>
        <w:t xml:space="preserve"> CMPM ‘2018’ (n 82) 2-5; </w:t>
      </w:r>
      <w:r w:rsidRPr="0083578E">
        <w:rPr>
          <w:color w:val="000000" w:themeColor="text1"/>
          <w:lang w:val="en-US"/>
        </w:rPr>
        <w:t xml:space="preserve">CMPF, ‘Monitoring Media Pluralism in Europe: Application of the MPM 2016 in the EU, Montenegro and Turkey’ </w:t>
      </w:r>
      <w:r w:rsidRPr="0083578E">
        <w:rPr>
          <w:rFonts w:asciiTheme="majorHAnsi" w:hAnsiTheme="majorHAnsi" w:cstheme="majorHAnsi"/>
          <w:color w:val="000000" w:themeColor="text1"/>
          <w:lang w:val="en-US"/>
        </w:rPr>
        <w:t>[2017] 2-4.</w:t>
      </w:r>
    </w:p>
  </w:footnote>
  <w:footnote w:id="84">
    <w:p w:rsidR="005F4C2E" w:rsidRPr="0083578E" w:rsidRDefault="005F4C2E" w:rsidP="00122735">
      <w:pPr>
        <w:pStyle w:val="FootnoteText"/>
        <w:spacing w:before="120" w:after="120"/>
        <w:jc w:val="both"/>
        <w:rPr>
          <w:color w:val="000000" w:themeColor="text1"/>
        </w:rPr>
      </w:pPr>
      <w:r w:rsidRPr="0083578E">
        <w:rPr>
          <w:rStyle w:val="FootnoteReference"/>
          <w:color w:val="000000" w:themeColor="text1"/>
        </w:rPr>
        <w:footnoteRef/>
      </w:r>
      <w:r w:rsidRPr="0083578E">
        <w:rPr>
          <w:color w:val="000000" w:themeColor="text1"/>
        </w:rPr>
        <w:t xml:space="preserve"> CMPM ‘2018’ (n 82) 70.</w:t>
      </w:r>
    </w:p>
  </w:footnote>
  <w:footnote w:id="85">
    <w:p w:rsidR="005F4C2E" w:rsidRPr="0083578E" w:rsidRDefault="005F4C2E" w:rsidP="00122735">
      <w:pPr>
        <w:pStyle w:val="FootnoteText"/>
        <w:spacing w:before="120" w:after="120"/>
        <w:jc w:val="both"/>
        <w:rPr>
          <w:color w:val="000000" w:themeColor="text1"/>
        </w:rPr>
      </w:pPr>
      <w:r w:rsidRPr="0083578E">
        <w:rPr>
          <w:rStyle w:val="FootnoteReference"/>
          <w:color w:val="000000" w:themeColor="text1"/>
        </w:rPr>
        <w:footnoteRef/>
      </w:r>
      <w:r w:rsidRPr="0083578E">
        <w:rPr>
          <w:color w:val="000000" w:themeColor="text1"/>
        </w:rPr>
        <w:t xml:space="preserve"> ibid 2.</w:t>
      </w:r>
    </w:p>
  </w:footnote>
  <w:footnote w:id="86">
    <w:p w:rsidR="005F4C2E" w:rsidRPr="0051007D" w:rsidRDefault="005F4C2E" w:rsidP="00122735">
      <w:pPr>
        <w:spacing w:before="120" w:after="120"/>
        <w:jc w:val="both"/>
        <w:rPr>
          <w:color w:val="000000" w:themeColor="text1"/>
          <w:sz w:val="20"/>
          <w:szCs w:val="20"/>
        </w:rPr>
      </w:pPr>
      <w:r w:rsidRPr="0083578E">
        <w:rPr>
          <w:rStyle w:val="FootnoteReference"/>
          <w:color w:val="000000" w:themeColor="text1"/>
          <w:sz w:val="20"/>
          <w:szCs w:val="20"/>
        </w:rPr>
        <w:footnoteRef/>
      </w:r>
      <w:r w:rsidRPr="0083578E">
        <w:rPr>
          <w:color w:val="000000" w:themeColor="text1"/>
          <w:sz w:val="20"/>
          <w:szCs w:val="20"/>
        </w:rPr>
        <w:t xml:space="preserve"> </w:t>
      </w:r>
      <w:r w:rsidRPr="0083578E">
        <w:rPr>
          <w:color w:val="000000" w:themeColor="text1"/>
          <w:sz w:val="20"/>
          <w:szCs w:val="20"/>
          <w:lang w:val="en-US"/>
        </w:rPr>
        <w:t xml:space="preserve">CMPF, ‘MPM 2020 </w:t>
      </w:r>
      <w:r w:rsidRPr="0083578E">
        <w:rPr>
          <w:rFonts w:asciiTheme="majorHAnsi" w:hAnsiTheme="majorHAnsi" w:cstheme="majorHAnsi"/>
          <w:color w:val="000000" w:themeColor="text1"/>
          <w:sz w:val="20"/>
          <w:szCs w:val="20"/>
          <w:lang w:val="en-US"/>
        </w:rPr>
        <w:t>&lt;</w:t>
      </w:r>
      <w:hyperlink r:id="rId10" w:history="1">
        <w:r w:rsidRPr="0083578E">
          <w:rPr>
            <w:color w:val="000000" w:themeColor="text1"/>
            <w:sz w:val="20"/>
            <w:szCs w:val="20"/>
            <w:u w:val="single"/>
          </w:rPr>
          <w:t>https://cmpf.eui.eu/media-pluralism-monitor/mpm-2020/</w:t>
        </w:r>
      </w:hyperlink>
      <w:r w:rsidRPr="0083578E">
        <w:rPr>
          <w:rFonts w:asciiTheme="majorHAnsi" w:hAnsiTheme="majorHAnsi" w:cstheme="majorHAnsi"/>
          <w:color w:val="000000" w:themeColor="text1"/>
          <w:sz w:val="20"/>
          <w:szCs w:val="20"/>
          <w:lang w:val="en-US"/>
        </w:rPr>
        <w:t xml:space="preserve">&gt; accessed </w:t>
      </w:r>
      <w:r w:rsidRPr="0083578E">
        <w:rPr>
          <w:rFonts w:asciiTheme="majorHAnsi" w:eastAsiaTheme="majorEastAsia" w:hAnsiTheme="majorHAnsi" w:cstheme="majorHAnsi"/>
          <w:color w:val="000000" w:themeColor="text1"/>
          <w:sz w:val="20"/>
          <w:szCs w:val="20"/>
          <w:lang w:val="en-US"/>
        </w:rPr>
        <w:t>28 April 2020.</w:t>
      </w:r>
    </w:p>
  </w:footnote>
  <w:footnote w:id="87">
    <w:p w:rsidR="005F4C2E" w:rsidRPr="00DA128E" w:rsidRDefault="005F4C2E" w:rsidP="006C25CE">
      <w:pPr>
        <w:pStyle w:val="FootnoteText"/>
        <w:spacing w:after="120"/>
        <w:jc w:val="both"/>
        <w:rPr>
          <w:color w:val="000000" w:themeColor="text1"/>
        </w:rPr>
      </w:pPr>
      <w:r w:rsidRPr="00DA128E">
        <w:rPr>
          <w:rStyle w:val="FootnoteReference"/>
          <w:color w:val="000000" w:themeColor="text1"/>
        </w:rPr>
        <w:footnoteRef/>
      </w:r>
      <w:r w:rsidRPr="00DA128E">
        <w:rPr>
          <w:color w:val="000000" w:themeColor="text1"/>
        </w:rPr>
        <w:t xml:space="preserve"> </w:t>
      </w:r>
      <w:r w:rsidRPr="00DA128E">
        <w:rPr>
          <w:color w:val="000000" w:themeColor="text1"/>
          <w:lang w:val="en-US"/>
        </w:rPr>
        <w:t xml:space="preserve">CMPF, ‘Country Report: Turkey’ </w:t>
      </w:r>
      <w:r w:rsidRPr="00DA128E">
        <w:rPr>
          <w:rFonts w:asciiTheme="majorHAnsi" w:hAnsiTheme="majorHAnsi" w:cstheme="majorHAnsi"/>
          <w:color w:val="000000" w:themeColor="text1"/>
          <w:lang w:val="en-US"/>
        </w:rPr>
        <w:t>[2018] 12.</w:t>
      </w:r>
    </w:p>
  </w:footnote>
  <w:footnote w:id="88">
    <w:p w:rsidR="005F4C2E" w:rsidRPr="00DA128E" w:rsidRDefault="005F4C2E" w:rsidP="00FF6355">
      <w:pPr>
        <w:spacing w:before="120" w:after="120"/>
        <w:jc w:val="both"/>
        <w:rPr>
          <w:color w:val="000000" w:themeColor="text1"/>
          <w:sz w:val="20"/>
          <w:szCs w:val="20"/>
        </w:rPr>
      </w:pPr>
      <w:r w:rsidRPr="00DA128E">
        <w:rPr>
          <w:rStyle w:val="FootnoteReference"/>
          <w:color w:val="000000" w:themeColor="text1"/>
          <w:sz w:val="20"/>
          <w:szCs w:val="20"/>
        </w:rPr>
        <w:footnoteRef/>
      </w:r>
      <w:r w:rsidRPr="00DA128E">
        <w:rPr>
          <w:color w:val="000000" w:themeColor="text1"/>
          <w:sz w:val="20"/>
          <w:szCs w:val="20"/>
        </w:rPr>
        <w:t xml:space="preserve"> </w:t>
      </w:r>
      <w:r w:rsidRPr="00DA128E">
        <w:rPr>
          <w:color w:val="000000" w:themeColor="text1"/>
          <w:sz w:val="20"/>
          <w:szCs w:val="20"/>
          <w:lang w:val="en-US"/>
        </w:rPr>
        <w:t xml:space="preserve">RWB, ‘Turkey’ </w:t>
      </w:r>
      <w:r w:rsidRPr="00DA128E">
        <w:rPr>
          <w:rFonts w:asciiTheme="majorHAnsi" w:hAnsiTheme="majorHAnsi" w:cstheme="majorHAnsi"/>
          <w:color w:val="000000" w:themeColor="text1"/>
          <w:sz w:val="20"/>
          <w:szCs w:val="20"/>
          <w:lang w:val="en-US"/>
        </w:rPr>
        <w:t>&lt;</w:t>
      </w:r>
      <w:hyperlink r:id="rId11" w:history="1">
        <w:r w:rsidRPr="00DA128E">
          <w:rPr>
            <w:rStyle w:val="Hyperlink"/>
            <w:color w:val="000000" w:themeColor="text1"/>
            <w:sz w:val="20"/>
            <w:szCs w:val="20"/>
          </w:rPr>
          <w:t>https://rsf.org/en/taxonomy/term/145</w:t>
        </w:r>
      </w:hyperlink>
      <w:r w:rsidRPr="00DA128E">
        <w:rPr>
          <w:rFonts w:asciiTheme="majorHAnsi" w:hAnsiTheme="majorHAnsi" w:cstheme="majorHAnsi"/>
          <w:color w:val="000000" w:themeColor="text1"/>
          <w:sz w:val="20"/>
          <w:szCs w:val="20"/>
          <w:lang w:val="en-US"/>
        </w:rPr>
        <w:t xml:space="preserve">&gt; accessed </w:t>
      </w:r>
      <w:r w:rsidRPr="00DA128E">
        <w:rPr>
          <w:rFonts w:asciiTheme="majorHAnsi" w:eastAsiaTheme="majorEastAsia" w:hAnsiTheme="majorHAnsi" w:cstheme="majorHAnsi"/>
          <w:color w:val="000000" w:themeColor="text1"/>
          <w:sz w:val="20"/>
          <w:szCs w:val="20"/>
          <w:lang w:val="en-US"/>
        </w:rPr>
        <w:t>29 April 2020.</w:t>
      </w:r>
    </w:p>
  </w:footnote>
  <w:footnote w:id="89">
    <w:p w:rsidR="005F4C2E" w:rsidRPr="00DA128E" w:rsidRDefault="005F4C2E" w:rsidP="00FF6355">
      <w:pPr>
        <w:spacing w:before="120" w:after="120"/>
        <w:jc w:val="both"/>
        <w:rPr>
          <w:color w:val="000000" w:themeColor="text1"/>
          <w:sz w:val="20"/>
          <w:szCs w:val="20"/>
        </w:rPr>
      </w:pPr>
      <w:r w:rsidRPr="00DA128E">
        <w:rPr>
          <w:rStyle w:val="FootnoteReference"/>
          <w:color w:val="000000" w:themeColor="text1"/>
          <w:sz w:val="20"/>
          <w:szCs w:val="20"/>
        </w:rPr>
        <w:footnoteRef/>
      </w:r>
      <w:r w:rsidRPr="00DA128E">
        <w:rPr>
          <w:color w:val="000000" w:themeColor="text1"/>
          <w:sz w:val="20"/>
          <w:szCs w:val="20"/>
        </w:rPr>
        <w:t xml:space="preserve"> </w:t>
      </w:r>
      <w:r w:rsidRPr="00DA128E">
        <w:rPr>
          <w:color w:val="000000" w:themeColor="text1"/>
          <w:sz w:val="20"/>
          <w:szCs w:val="20"/>
          <w:lang w:val="en-US"/>
        </w:rPr>
        <w:t xml:space="preserve">Media Ownership Monitor, ‘Turkey’ </w:t>
      </w:r>
      <w:r w:rsidRPr="00DA128E">
        <w:rPr>
          <w:rFonts w:asciiTheme="majorHAnsi" w:hAnsiTheme="majorHAnsi" w:cstheme="majorHAnsi"/>
          <w:color w:val="000000" w:themeColor="text1"/>
          <w:sz w:val="20"/>
          <w:szCs w:val="20"/>
          <w:lang w:val="en-US"/>
        </w:rPr>
        <w:t>&lt;</w:t>
      </w:r>
      <w:hyperlink r:id="rId12" w:history="1">
        <w:r w:rsidRPr="00DA128E">
          <w:rPr>
            <w:rStyle w:val="Hyperlink"/>
            <w:color w:val="000000" w:themeColor="text1"/>
            <w:sz w:val="20"/>
            <w:szCs w:val="20"/>
          </w:rPr>
          <w:t>www.mom-rsf.org/en/countries/turkey/</w:t>
        </w:r>
      </w:hyperlink>
      <w:r w:rsidRPr="00DA128E">
        <w:rPr>
          <w:rFonts w:asciiTheme="majorHAnsi" w:hAnsiTheme="majorHAnsi" w:cstheme="majorHAnsi"/>
          <w:color w:val="000000" w:themeColor="text1"/>
          <w:sz w:val="20"/>
          <w:szCs w:val="20"/>
          <w:lang w:val="en-US"/>
        </w:rPr>
        <w:t xml:space="preserve">&gt; accessed </w:t>
      </w:r>
      <w:r w:rsidRPr="00DA128E">
        <w:rPr>
          <w:rFonts w:asciiTheme="majorHAnsi" w:eastAsiaTheme="majorEastAsia" w:hAnsiTheme="majorHAnsi" w:cstheme="majorHAnsi"/>
          <w:color w:val="000000" w:themeColor="text1"/>
          <w:sz w:val="20"/>
          <w:szCs w:val="20"/>
          <w:lang w:val="en-US"/>
        </w:rPr>
        <w:t>29 April 2020.</w:t>
      </w:r>
    </w:p>
  </w:footnote>
  <w:footnote w:id="90">
    <w:p w:rsidR="005F4C2E" w:rsidRPr="00DA128E" w:rsidRDefault="005F4C2E" w:rsidP="0035321B">
      <w:pPr>
        <w:spacing w:before="120" w:after="120"/>
        <w:jc w:val="both"/>
        <w:rPr>
          <w:color w:val="000000" w:themeColor="text1"/>
          <w:sz w:val="20"/>
          <w:szCs w:val="20"/>
          <w:lang w:val="en-US"/>
        </w:rPr>
      </w:pPr>
      <w:r w:rsidRPr="00DA128E">
        <w:rPr>
          <w:rStyle w:val="FootnoteReference"/>
          <w:color w:val="000000" w:themeColor="text1"/>
          <w:sz w:val="20"/>
          <w:szCs w:val="20"/>
          <w:lang w:val="en-US"/>
        </w:rPr>
        <w:footnoteRef/>
      </w:r>
      <w:r w:rsidRPr="00DA128E">
        <w:rPr>
          <w:color w:val="000000" w:themeColor="text1"/>
          <w:sz w:val="20"/>
          <w:szCs w:val="20"/>
          <w:lang w:val="en-US"/>
        </w:rPr>
        <w:t xml:space="preserve"> EP, </w:t>
      </w:r>
      <w:r w:rsidRPr="00DA128E">
        <w:rPr>
          <w:rFonts w:asciiTheme="majorHAnsi" w:hAnsiTheme="majorHAnsi" w:cstheme="majorHAnsi"/>
          <w:color w:val="000000" w:themeColor="text1"/>
          <w:sz w:val="20"/>
          <w:szCs w:val="20"/>
          <w:lang w:val="en-US"/>
        </w:rPr>
        <w:t>‘European Citizens’ Initiative’ &lt;</w:t>
      </w:r>
      <w:hyperlink r:id="rId13" w:history="1">
        <w:r w:rsidRPr="00DA128E">
          <w:rPr>
            <w:color w:val="000000" w:themeColor="text1"/>
            <w:sz w:val="20"/>
            <w:szCs w:val="20"/>
            <w:u w:val="single"/>
            <w:lang w:val="en-US"/>
          </w:rPr>
          <w:t>www.europarl.europa.eu/factsheets/en/sheet/149/european-citizens-initiative</w:t>
        </w:r>
      </w:hyperlink>
      <w:r w:rsidRPr="00DA128E">
        <w:rPr>
          <w:rFonts w:asciiTheme="majorHAnsi" w:hAnsiTheme="majorHAnsi" w:cstheme="majorHAnsi"/>
          <w:color w:val="000000" w:themeColor="text1"/>
          <w:sz w:val="20"/>
          <w:szCs w:val="20"/>
          <w:lang w:val="en-US"/>
        </w:rPr>
        <w:t xml:space="preserve">&gt; accessed </w:t>
      </w:r>
      <w:r w:rsidRPr="00DA128E">
        <w:rPr>
          <w:rFonts w:asciiTheme="majorHAnsi" w:eastAsiaTheme="majorEastAsia" w:hAnsiTheme="majorHAnsi" w:cstheme="majorHAnsi"/>
          <w:color w:val="000000" w:themeColor="text1"/>
          <w:sz w:val="20"/>
          <w:szCs w:val="20"/>
          <w:lang w:val="en-US"/>
        </w:rPr>
        <w:t>26 April 2020.</w:t>
      </w:r>
    </w:p>
  </w:footnote>
  <w:footnote w:id="91">
    <w:p w:rsidR="005F4C2E" w:rsidRPr="00DA128E" w:rsidRDefault="005F4C2E" w:rsidP="0035321B">
      <w:pPr>
        <w:pStyle w:val="FootnoteText"/>
        <w:spacing w:before="120" w:after="120"/>
        <w:jc w:val="both"/>
        <w:rPr>
          <w:color w:val="000000" w:themeColor="text1"/>
          <w:lang w:val="en-US"/>
        </w:rPr>
      </w:pPr>
      <w:r w:rsidRPr="00DA128E">
        <w:rPr>
          <w:rStyle w:val="FootnoteReference"/>
          <w:color w:val="000000" w:themeColor="text1"/>
          <w:lang w:val="en-US"/>
        </w:rPr>
        <w:footnoteRef/>
      </w:r>
      <w:r w:rsidRPr="00DA128E">
        <w:rPr>
          <w:color w:val="000000" w:themeColor="text1"/>
          <w:lang w:val="en-US"/>
        </w:rPr>
        <w:t xml:space="preserve"> ibid. </w:t>
      </w:r>
    </w:p>
  </w:footnote>
  <w:footnote w:id="92">
    <w:p w:rsidR="005F4C2E" w:rsidRPr="00DA128E" w:rsidRDefault="005F4C2E" w:rsidP="0035321B">
      <w:pPr>
        <w:pStyle w:val="FootnoteText"/>
        <w:spacing w:before="120" w:after="120"/>
        <w:jc w:val="both"/>
        <w:rPr>
          <w:color w:val="000000" w:themeColor="text1"/>
          <w:lang w:val="en-US"/>
        </w:rPr>
      </w:pPr>
      <w:r w:rsidRPr="00DA128E">
        <w:rPr>
          <w:rStyle w:val="FootnoteReference"/>
          <w:color w:val="000000" w:themeColor="text1"/>
          <w:lang w:val="en-US"/>
        </w:rPr>
        <w:footnoteRef/>
      </w:r>
      <w:r w:rsidRPr="00DA128E">
        <w:rPr>
          <w:color w:val="000000" w:themeColor="text1"/>
          <w:lang w:val="en-US"/>
        </w:rPr>
        <w:t xml:space="preserve"> Danielle Raeijmaekers and Pieter Maeseele, ‘Media, Pluralism and Democracy: What’s in a name?’ </w:t>
      </w:r>
      <w:r w:rsidRPr="00DA128E">
        <w:rPr>
          <w:rFonts w:asciiTheme="majorHAnsi" w:hAnsiTheme="majorHAnsi" w:cstheme="majorHAnsi"/>
          <w:color w:val="000000" w:themeColor="text1"/>
          <w:lang w:val="en-US"/>
        </w:rPr>
        <w:t>[2015] 37(7) MCS 1043.</w:t>
      </w:r>
    </w:p>
  </w:footnote>
  <w:footnote w:id="93">
    <w:p w:rsidR="005F4C2E" w:rsidRPr="00DA128E" w:rsidRDefault="005F4C2E" w:rsidP="0035321B">
      <w:pPr>
        <w:spacing w:before="120" w:after="120"/>
        <w:jc w:val="both"/>
        <w:rPr>
          <w:color w:val="000000" w:themeColor="text1"/>
          <w:sz w:val="20"/>
          <w:szCs w:val="20"/>
          <w:lang w:val="en-US"/>
        </w:rPr>
      </w:pPr>
      <w:r w:rsidRPr="00DA128E">
        <w:rPr>
          <w:rStyle w:val="FootnoteReference"/>
          <w:color w:val="000000" w:themeColor="text1"/>
          <w:sz w:val="20"/>
          <w:szCs w:val="20"/>
          <w:lang w:val="en-US"/>
        </w:rPr>
        <w:footnoteRef/>
      </w:r>
      <w:r w:rsidRPr="00DA128E">
        <w:rPr>
          <w:color w:val="000000" w:themeColor="text1"/>
          <w:sz w:val="20"/>
          <w:szCs w:val="20"/>
          <w:lang w:val="en-US"/>
        </w:rPr>
        <w:t xml:space="preserve"> EU, ‘European Initiative for Media Pluralism’ </w:t>
      </w:r>
      <w:r w:rsidRPr="00DA128E">
        <w:rPr>
          <w:rFonts w:asciiTheme="majorHAnsi" w:hAnsiTheme="majorHAnsi" w:cstheme="majorHAnsi"/>
          <w:color w:val="000000" w:themeColor="text1"/>
          <w:sz w:val="20"/>
          <w:szCs w:val="20"/>
          <w:lang w:val="en-US"/>
        </w:rPr>
        <w:t>&lt;</w:t>
      </w:r>
      <w:hyperlink r:id="rId14" w:history="1">
        <w:r w:rsidRPr="00DA128E">
          <w:rPr>
            <w:color w:val="000000" w:themeColor="text1"/>
            <w:sz w:val="20"/>
            <w:szCs w:val="20"/>
            <w:u w:val="single"/>
            <w:lang w:val="en-US"/>
          </w:rPr>
          <w:t>https://europa.eu/citizens-initiative/initiatives/details/2013/000007_en</w:t>
        </w:r>
      </w:hyperlink>
      <w:r w:rsidRPr="00DA128E">
        <w:rPr>
          <w:rFonts w:asciiTheme="majorHAnsi" w:hAnsiTheme="majorHAnsi" w:cstheme="majorHAnsi"/>
          <w:color w:val="000000" w:themeColor="text1"/>
          <w:sz w:val="20"/>
          <w:szCs w:val="20"/>
          <w:lang w:val="en-US"/>
        </w:rPr>
        <w:t xml:space="preserve">&gt; accessed </w:t>
      </w:r>
      <w:r w:rsidRPr="00DA128E">
        <w:rPr>
          <w:rFonts w:asciiTheme="majorHAnsi" w:eastAsiaTheme="majorEastAsia" w:hAnsiTheme="majorHAnsi" w:cstheme="majorHAnsi"/>
          <w:color w:val="000000" w:themeColor="text1"/>
          <w:sz w:val="20"/>
          <w:szCs w:val="20"/>
          <w:lang w:val="en-US"/>
        </w:rPr>
        <w:t>26 April 2020.</w:t>
      </w:r>
    </w:p>
  </w:footnote>
  <w:footnote w:id="94">
    <w:p w:rsidR="005F4C2E" w:rsidRPr="00DA128E" w:rsidRDefault="005F4C2E" w:rsidP="0035321B">
      <w:pPr>
        <w:pStyle w:val="FootnoteText"/>
        <w:spacing w:before="120" w:after="120"/>
        <w:jc w:val="both"/>
        <w:rPr>
          <w:color w:val="000000" w:themeColor="text1"/>
          <w:lang w:val="en-US"/>
        </w:rPr>
      </w:pPr>
      <w:r w:rsidRPr="00DA128E">
        <w:rPr>
          <w:rStyle w:val="FootnoteReference"/>
          <w:color w:val="000000" w:themeColor="text1"/>
          <w:lang w:val="en-US"/>
        </w:rPr>
        <w:footnoteRef/>
      </w:r>
      <w:r w:rsidRPr="00DA128E">
        <w:rPr>
          <w:color w:val="000000" w:themeColor="text1"/>
          <w:lang w:val="en-US"/>
        </w:rPr>
        <w:t xml:space="preserve"> Komorek (n 6) 45.  </w:t>
      </w:r>
    </w:p>
  </w:footnote>
  <w:footnote w:id="95">
    <w:p w:rsidR="005F4C2E" w:rsidRPr="00DA128E" w:rsidRDefault="005F4C2E" w:rsidP="0035321B">
      <w:pPr>
        <w:pStyle w:val="FootnoteText"/>
        <w:spacing w:before="120" w:after="120"/>
        <w:jc w:val="both"/>
        <w:rPr>
          <w:color w:val="000000" w:themeColor="text1"/>
          <w:lang w:val="en-US"/>
        </w:rPr>
      </w:pPr>
      <w:r w:rsidRPr="00DA128E">
        <w:rPr>
          <w:rStyle w:val="FootnoteReference"/>
          <w:color w:val="000000" w:themeColor="text1"/>
          <w:lang w:val="en-US"/>
        </w:rPr>
        <w:footnoteRef/>
      </w:r>
      <w:r w:rsidRPr="00DA128E">
        <w:rPr>
          <w:color w:val="000000" w:themeColor="text1"/>
          <w:lang w:val="en-US"/>
        </w:rPr>
        <w:t xml:space="preserve"> Raeijmaekers and Maeseele (n 92) 1043.</w:t>
      </w:r>
    </w:p>
  </w:footnote>
  <w:footnote w:id="96">
    <w:p w:rsidR="005F4C2E" w:rsidRPr="00F12518" w:rsidRDefault="005F4C2E" w:rsidP="0035321B">
      <w:pPr>
        <w:spacing w:before="120" w:after="120"/>
        <w:jc w:val="both"/>
        <w:rPr>
          <w:color w:val="000000" w:themeColor="text1"/>
          <w:sz w:val="20"/>
          <w:szCs w:val="20"/>
          <w:lang w:val="en-US"/>
        </w:rPr>
      </w:pPr>
      <w:r w:rsidRPr="00DA128E">
        <w:rPr>
          <w:rStyle w:val="FootnoteReference"/>
          <w:color w:val="000000" w:themeColor="text1"/>
          <w:sz w:val="20"/>
          <w:szCs w:val="20"/>
        </w:rPr>
        <w:footnoteRef/>
      </w:r>
      <w:r w:rsidRPr="00DA128E">
        <w:rPr>
          <w:color w:val="000000" w:themeColor="text1"/>
          <w:sz w:val="20"/>
          <w:szCs w:val="20"/>
        </w:rPr>
        <w:t xml:space="preserve"> </w:t>
      </w:r>
      <w:r w:rsidRPr="00DA128E">
        <w:rPr>
          <w:color w:val="000000" w:themeColor="text1"/>
          <w:sz w:val="20"/>
          <w:szCs w:val="20"/>
          <w:lang w:val="en-US"/>
        </w:rPr>
        <w:t>Ewa Komorek, ‘Media Pluralism – EU Solutions’ (TCD 2019-2020 EU DSM – Media Regulation).</w:t>
      </w:r>
    </w:p>
  </w:footnote>
  <w:footnote w:id="97">
    <w:p w:rsidR="005F4C2E" w:rsidRPr="00DA128E" w:rsidRDefault="005F4C2E" w:rsidP="006C25CE">
      <w:pPr>
        <w:pStyle w:val="FootnoteText"/>
        <w:spacing w:after="120"/>
        <w:jc w:val="both"/>
        <w:rPr>
          <w:color w:val="000000" w:themeColor="text1"/>
          <w:lang w:val="en-US"/>
        </w:rPr>
      </w:pPr>
      <w:r w:rsidRPr="00DA128E">
        <w:rPr>
          <w:rStyle w:val="FootnoteReference"/>
          <w:color w:val="000000" w:themeColor="text1"/>
          <w:lang w:val="en-US"/>
        </w:rPr>
        <w:footnoteRef/>
      </w:r>
      <w:r w:rsidRPr="00DA128E">
        <w:rPr>
          <w:color w:val="000000" w:themeColor="text1"/>
          <w:lang w:val="en-US"/>
        </w:rPr>
        <w:t xml:space="preserve"> Carles Llorens and Andreea Madalina Costache, ‘</w:t>
      </w:r>
      <w:r w:rsidRPr="00DA128E">
        <w:rPr>
          <w:rFonts w:asciiTheme="majorHAnsi" w:hAnsiTheme="majorHAnsi" w:cstheme="majorHAnsi"/>
          <w:color w:val="000000" w:themeColor="text1"/>
          <w:lang w:val="en-US"/>
        </w:rPr>
        <w:t>EU Media Policy and Independent Regulatory Authorities: A New Tool to Protect European Media Pluralism?’ [2014] 4 JIP 403.</w:t>
      </w:r>
    </w:p>
  </w:footnote>
  <w:footnote w:id="98">
    <w:p w:rsidR="005F4C2E" w:rsidRPr="00DA128E" w:rsidRDefault="005F4C2E" w:rsidP="0035321B">
      <w:pPr>
        <w:spacing w:before="120" w:after="120"/>
        <w:jc w:val="both"/>
        <w:rPr>
          <w:color w:val="000000" w:themeColor="text1"/>
          <w:sz w:val="20"/>
          <w:szCs w:val="20"/>
          <w:lang w:val="en-US"/>
        </w:rPr>
      </w:pPr>
      <w:r w:rsidRPr="00DA128E">
        <w:rPr>
          <w:rStyle w:val="FootnoteReference"/>
          <w:color w:val="000000" w:themeColor="text1"/>
          <w:sz w:val="20"/>
          <w:szCs w:val="20"/>
          <w:lang w:val="en-US"/>
        </w:rPr>
        <w:footnoteRef/>
      </w:r>
      <w:r w:rsidRPr="00DA128E">
        <w:rPr>
          <w:color w:val="000000" w:themeColor="text1"/>
          <w:sz w:val="20"/>
          <w:szCs w:val="20"/>
          <w:lang w:val="en-US"/>
        </w:rPr>
        <w:t xml:space="preserve"> See </w:t>
      </w:r>
      <w:r w:rsidRPr="00DA128E">
        <w:rPr>
          <w:rFonts w:asciiTheme="majorHAnsi" w:hAnsiTheme="majorHAnsi" w:cstheme="majorHAnsi"/>
          <w:color w:val="000000" w:themeColor="text1"/>
          <w:sz w:val="20"/>
          <w:szCs w:val="20"/>
          <w:lang w:val="en-US"/>
        </w:rPr>
        <w:t>&lt;</w:t>
      </w:r>
      <w:hyperlink r:id="rId15" w:history="1">
        <w:r w:rsidRPr="00DA128E">
          <w:rPr>
            <w:color w:val="000000" w:themeColor="text1"/>
            <w:sz w:val="20"/>
            <w:szCs w:val="20"/>
            <w:u w:val="single"/>
            <w:lang w:val="en-US"/>
          </w:rPr>
          <w:t>https://mediainitiative.eu/our-mission/</w:t>
        </w:r>
      </w:hyperlink>
      <w:r w:rsidRPr="00DA128E">
        <w:rPr>
          <w:rFonts w:asciiTheme="majorHAnsi" w:hAnsiTheme="majorHAnsi" w:cstheme="majorHAnsi"/>
          <w:color w:val="000000" w:themeColor="text1"/>
          <w:sz w:val="20"/>
          <w:szCs w:val="20"/>
          <w:lang w:val="en-US"/>
        </w:rPr>
        <w:t xml:space="preserve">&gt; accessed </w:t>
      </w:r>
      <w:r w:rsidRPr="00DA128E">
        <w:rPr>
          <w:rFonts w:asciiTheme="majorHAnsi" w:eastAsiaTheme="majorEastAsia" w:hAnsiTheme="majorHAnsi" w:cstheme="majorHAnsi"/>
          <w:color w:val="000000" w:themeColor="text1"/>
          <w:sz w:val="20"/>
          <w:szCs w:val="20"/>
          <w:lang w:val="en-US"/>
        </w:rPr>
        <w:t>27 April 2020.</w:t>
      </w:r>
    </w:p>
  </w:footnote>
  <w:footnote w:id="99">
    <w:p w:rsidR="005F4C2E" w:rsidRPr="00DA128E" w:rsidRDefault="005F4C2E" w:rsidP="0035321B">
      <w:pPr>
        <w:spacing w:before="120" w:after="120"/>
        <w:jc w:val="both"/>
        <w:rPr>
          <w:sz w:val="20"/>
          <w:szCs w:val="20"/>
        </w:rPr>
      </w:pPr>
      <w:r w:rsidRPr="00DA128E">
        <w:rPr>
          <w:rStyle w:val="FootnoteReference"/>
          <w:color w:val="000000" w:themeColor="text1"/>
          <w:sz w:val="20"/>
          <w:szCs w:val="20"/>
        </w:rPr>
        <w:footnoteRef/>
      </w:r>
      <w:r w:rsidRPr="00DA128E">
        <w:rPr>
          <w:color w:val="000000" w:themeColor="text1"/>
          <w:sz w:val="20"/>
          <w:szCs w:val="20"/>
        </w:rPr>
        <w:t xml:space="preserve"> </w:t>
      </w:r>
      <w:r w:rsidRPr="00DA128E">
        <w:rPr>
          <w:color w:val="000000" w:themeColor="text1"/>
          <w:sz w:val="20"/>
          <w:szCs w:val="20"/>
          <w:lang w:val="en-US"/>
        </w:rPr>
        <w:t>Rachel Donadio, ‘A Tiny Island Exposes Europe’s Failures’ (The Atlantic, 5 December 2019) &lt;</w:t>
      </w:r>
      <w:hyperlink r:id="rId16" w:history="1">
        <w:r w:rsidRPr="00DA128E">
          <w:rPr>
            <w:rStyle w:val="Hyperlink"/>
            <w:rFonts w:eastAsiaTheme="majorEastAsia"/>
            <w:color w:val="000000" w:themeColor="text1"/>
            <w:sz w:val="20"/>
            <w:szCs w:val="20"/>
          </w:rPr>
          <w:t>www.theatlantic.com/international/archive/2019/12/daphne-caruana-galizia-malta/602923/</w:t>
        </w:r>
      </w:hyperlink>
      <w:r w:rsidRPr="00DA128E">
        <w:rPr>
          <w:color w:val="000000" w:themeColor="text1"/>
          <w:sz w:val="20"/>
          <w:szCs w:val="20"/>
          <w:lang w:val="en-US"/>
        </w:rPr>
        <w:t xml:space="preserve">&gt; accessed </w:t>
      </w:r>
      <w:r w:rsidRPr="00DA128E">
        <w:rPr>
          <w:rFonts w:asciiTheme="majorHAnsi" w:hAnsiTheme="majorHAnsi" w:cstheme="majorHAnsi"/>
          <w:color w:val="000000" w:themeColor="text1"/>
          <w:sz w:val="20"/>
          <w:szCs w:val="20"/>
          <w:lang w:val="en-US"/>
        </w:rPr>
        <w:t>29 April 2020.</w:t>
      </w:r>
    </w:p>
  </w:footnote>
  <w:footnote w:id="100">
    <w:p w:rsidR="005F4C2E" w:rsidRPr="00DA128E" w:rsidRDefault="005F4C2E" w:rsidP="00C66934">
      <w:pPr>
        <w:spacing w:before="120" w:after="120"/>
        <w:jc w:val="both"/>
        <w:rPr>
          <w:color w:val="000000" w:themeColor="text1"/>
          <w:sz w:val="20"/>
          <w:szCs w:val="20"/>
          <w:lang w:val="en-US"/>
        </w:rPr>
      </w:pPr>
      <w:r w:rsidRPr="00DA128E">
        <w:rPr>
          <w:rStyle w:val="FootnoteReference"/>
          <w:color w:val="000000" w:themeColor="text1"/>
          <w:sz w:val="20"/>
          <w:szCs w:val="20"/>
          <w:lang w:val="en-US"/>
        </w:rPr>
        <w:footnoteRef/>
      </w:r>
      <w:r w:rsidRPr="00DA128E">
        <w:rPr>
          <w:color w:val="000000" w:themeColor="text1"/>
          <w:sz w:val="20"/>
          <w:szCs w:val="20"/>
          <w:lang w:val="en-US"/>
        </w:rPr>
        <w:t xml:space="preserve"> Miroslava Sirotnikova and Marc Santora, ‘Journalist’s Murder Puts a Tycoon, and a Nation, on Trial’ (The New York Times, 28 February 2020) &lt;</w:t>
      </w:r>
      <w:hyperlink r:id="rId17" w:history="1">
        <w:r w:rsidRPr="00DA128E">
          <w:rPr>
            <w:rStyle w:val="Hyperlink"/>
            <w:color w:val="000000" w:themeColor="text1"/>
            <w:sz w:val="20"/>
            <w:szCs w:val="20"/>
            <w:lang w:val="en-US"/>
          </w:rPr>
          <w:t>www.nytimes.com/2020/02/28/world/europe/jan-kuciak-marian-kocner-trial.html</w:t>
        </w:r>
      </w:hyperlink>
      <w:r w:rsidRPr="00DA128E">
        <w:rPr>
          <w:color w:val="000000" w:themeColor="text1"/>
          <w:sz w:val="20"/>
          <w:szCs w:val="20"/>
          <w:lang w:val="en-US"/>
        </w:rPr>
        <w:t xml:space="preserve">&gt; accessed </w:t>
      </w:r>
      <w:r w:rsidRPr="00DA128E">
        <w:rPr>
          <w:rFonts w:asciiTheme="majorHAnsi" w:hAnsiTheme="majorHAnsi" w:cstheme="majorHAnsi"/>
          <w:color w:val="000000" w:themeColor="text1"/>
          <w:sz w:val="20"/>
          <w:szCs w:val="20"/>
          <w:lang w:val="en-US"/>
        </w:rPr>
        <w:t>29 April 2020.</w:t>
      </w:r>
    </w:p>
  </w:footnote>
  <w:footnote w:id="101">
    <w:p w:rsidR="005F4C2E" w:rsidRPr="00DA128E" w:rsidRDefault="005F4C2E" w:rsidP="00C66934">
      <w:pPr>
        <w:pStyle w:val="FootnoteText"/>
        <w:spacing w:before="120" w:after="120"/>
        <w:jc w:val="both"/>
        <w:rPr>
          <w:lang w:val="en-US"/>
        </w:rPr>
      </w:pPr>
      <w:r w:rsidRPr="00DA128E">
        <w:rPr>
          <w:rStyle w:val="FootnoteReference"/>
          <w:lang w:val="en-US"/>
        </w:rPr>
        <w:footnoteRef/>
      </w:r>
      <w:r w:rsidRPr="00DA128E">
        <w:rPr>
          <w:lang w:val="en-US"/>
        </w:rPr>
        <w:t xml:space="preserve"> EP, ‘Report on Media Pluralism and Media Freedom in the EU’ (12 April 2018).</w:t>
      </w:r>
    </w:p>
  </w:footnote>
  <w:footnote w:id="102">
    <w:p w:rsidR="005F4C2E" w:rsidRPr="00DA128E" w:rsidRDefault="005F4C2E" w:rsidP="00C66934">
      <w:pPr>
        <w:pStyle w:val="FootnoteText"/>
        <w:spacing w:before="120" w:after="120"/>
        <w:jc w:val="both"/>
        <w:rPr>
          <w:lang w:val="en-US"/>
        </w:rPr>
      </w:pPr>
      <w:r w:rsidRPr="00DA128E">
        <w:rPr>
          <w:rStyle w:val="FootnoteReference"/>
          <w:lang w:val="en-US"/>
        </w:rPr>
        <w:footnoteRef/>
      </w:r>
      <w:r w:rsidRPr="00DA128E">
        <w:rPr>
          <w:lang w:val="en-US"/>
        </w:rPr>
        <w:t xml:space="preserve"> EP, ‘EP Resolution of 3 May 2018 on Media Pluralism and Media Freedom in the EU’ (3 May 2018). </w:t>
      </w:r>
    </w:p>
  </w:footnote>
  <w:footnote w:id="103">
    <w:p w:rsidR="005F4C2E" w:rsidRPr="00DA128E" w:rsidRDefault="005F4C2E" w:rsidP="00C66934">
      <w:pPr>
        <w:pStyle w:val="FootnoteText"/>
        <w:spacing w:before="120" w:after="120"/>
        <w:jc w:val="both"/>
      </w:pPr>
      <w:r w:rsidRPr="00DA128E">
        <w:rPr>
          <w:rStyle w:val="FootnoteReference"/>
        </w:rPr>
        <w:footnoteRef/>
      </w:r>
      <w:r w:rsidRPr="00DA128E">
        <w:t xml:space="preserve"> EP (n 101). </w:t>
      </w:r>
    </w:p>
  </w:footnote>
  <w:footnote w:id="104">
    <w:p w:rsidR="005F4C2E" w:rsidRPr="00F37647" w:rsidRDefault="005F4C2E" w:rsidP="00C66934">
      <w:pPr>
        <w:pStyle w:val="FootnoteText"/>
        <w:spacing w:before="120" w:after="120"/>
        <w:jc w:val="both"/>
      </w:pPr>
      <w:r w:rsidRPr="00DA128E">
        <w:rPr>
          <w:rStyle w:val="FootnoteReference"/>
        </w:rPr>
        <w:footnoteRef/>
      </w:r>
      <w:r w:rsidRPr="00DA128E">
        <w:t xml:space="preserve"> EP (n 102).</w:t>
      </w:r>
      <w:r w:rsidRPr="00F37647">
        <w:t xml:space="preserve"> </w:t>
      </w:r>
    </w:p>
  </w:footnote>
  <w:footnote w:id="105">
    <w:p w:rsidR="005F4C2E" w:rsidRPr="0006746D" w:rsidRDefault="005F4C2E" w:rsidP="006C25CE">
      <w:pPr>
        <w:pStyle w:val="FootnoteText"/>
        <w:spacing w:after="120"/>
        <w:jc w:val="both"/>
      </w:pPr>
      <w:r w:rsidRPr="0006746D">
        <w:rPr>
          <w:rStyle w:val="FootnoteReference"/>
        </w:rPr>
        <w:footnoteRef/>
      </w:r>
      <w:r w:rsidRPr="0006746D">
        <w:t xml:space="preserve"> ibid. </w:t>
      </w:r>
    </w:p>
  </w:footnote>
  <w:footnote w:id="106">
    <w:p w:rsidR="005F4C2E" w:rsidRPr="0006746D" w:rsidRDefault="005F4C2E" w:rsidP="00C66934">
      <w:pPr>
        <w:pStyle w:val="FootnoteText"/>
        <w:spacing w:before="120" w:after="120"/>
        <w:jc w:val="both"/>
        <w:rPr>
          <w:lang w:val="en-US"/>
        </w:rPr>
      </w:pPr>
      <w:r w:rsidRPr="0006746D">
        <w:rPr>
          <w:rStyle w:val="FootnoteReference"/>
          <w:lang w:val="en-US"/>
        </w:rPr>
        <w:footnoteRef/>
      </w:r>
      <w:r w:rsidRPr="0006746D">
        <w:rPr>
          <w:lang w:val="en-US"/>
        </w:rPr>
        <w:t xml:space="preserve"> EC, ‘Proposal for a Regulation establishing the Creative Europe programme (2021 to 2027) and repealing Regulation (EU) No 1295/2013 (Proposal) COM (2018) 366 final.</w:t>
      </w:r>
    </w:p>
  </w:footnote>
  <w:footnote w:id="107">
    <w:p w:rsidR="005F4C2E" w:rsidRPr="0006746D" w:rsidRDefault="005F4C2E" w:rsidP="00C66934">
      <w:pPr>
        <w:spacing w:before="120" w:after="120"/>
        <w:jc w:val="both"/>
        <w:rPr>
          <w:color w:val="000000" w:themeColor="text1"/>
          <w:sz w:val="20"/>
          <w:szCs w:val="20"/>
          <w:lang w:val="en-US"/>
        </w:rPr>
      </w:pPr>
      <w:r w:rsidRPr="0006746D">
        <w:rPr>
          <w:rStyle w:val="FootnoteReference"/>
          <w:color w:val="000000" w:themeColor="text1"/>
          <w:sz w:val="20"/>
          <w:szCs w:val="20"/>
          <w:lang w:val="en-US"/>
        </w:rPr>
        <w:footnoteRef/>
      </w:r>
      <w:r w:rsidRPr="0006746D">
        <w:rPr>
          <w:color w:val="000000" w:themeColor="text1"/>
          <w:sz w:val="20"/>
          <w:szCs w:val="20"/>
          <w:lang w:val="en-US"/>
        </w:rPr>
        <w:t xml:space="preserve"> EC, ‘Initiative to Strengthen the Rule of Law in the EU’ </w:t>
      </w:r>
      <w:r w:rsidRPr="0006746D">
        <w:rPr>
          <w:rFonts w:asciiTheme="majorHAnsi" w:hAnsiTheme="majorHAnsi" w:cstheme="majorHAnsi"/>
          <w:color w:val="000000" w:themeColor="text1"/>
          <w:sz w:val="20"/>
          <w:szCs w:val="20"/>
          <w:lang w:val="en-US"/>
        </w:rPr>
        <w:t>&lt;</w:t>
      </w:r>
      <w:hyperlink r:id="rId18" w:anchor="strengthening-the-rule-of-law-in-the-union" w:history="1">
        <w:r w:rsidRPr="0006746D">
          <w:rPr>
            <w:color w:val="000000" w:themeColor="text1"/>
            <w:sz w:val="20"/>
            <w:szCs w:val="20"/>
            <w:u w:val="single"/>
            <w:lang w:val="en-US"/>
          </w:rPr>
          <w:t>https://ec.europa.eu/info/policies/justice-and-fundamental-rights/upholding-rule-law/rule-law/initiative-strengthen-rule-law-eu_en#strengthening-the-rule-of-law-in-the-union</w:t>
        </w:r>
      </w:hyperlink>
      <w:r w:rsidRPr="0006746D">
        <w:rPr>
          <w:rFonts w:asciiTheme="majorHAnsi" w:hAnsiTheme="majorHAnsi" w:cstheme="majorHAnsi"/>
          <w:color w:val="000000" w:themeColor="text1"/>
          <w:sz w:val="20"/>
          <w:szCs w:val="20"/>
          <w:lang w:val="en-US"/>
        </w:rPr>
        <w:t xml:space="preserve">&gt; accessed </w:t>
      </w:r>
      <w:r w:rsidRPr="0006746D">
        <w:rPr>
          <w:rFonts w:asciiTheme="majorHAnsi" w:eastAsiaTheme="majorEastAsia" w:hAnsiTheme="majorHAnsi" w:cstheme="majorHAnsi"/>
          <w:color w:val="000000" w:themeColor="text1"/>
          <w:sz w:val="20"/>
          <w:szCs w:val="20"/>
          <w:lang w:val="en-US"/>
        </w:rPr>
        <w:t>29 April 2020.</w:t>
      </w:r>
    </w:p>
  </w:footnote>
  <w:footnote w:id="108">
    <w:p w:rsidR="005F4C2E" w:rsidRPr="0006746D" w:rsidRDefault="005F4C2E" w:rsidP="00C66934">
      <w:pPr>
        <w:pStyle w:val="FootnoteText"/>
        <w:spacing w:before="120" w:after="120"/>
        <w:jc w:val="both"/>
        <w:rPr>
          <w:color w:val="000000" w:themeColor="text1"/>
          <w:lang w:val="en-US"/>
        </w:rPr>
      </w:pPr>
      <w:r w:rsidRPr="0006746D">
        <w:rPr>
          <w:rStyle w:val="FootnoteReference"/>
          <w:color w:val="000000" w:themeColor="text1"/>
          <w:lang w:val="en-US"/>
        </w:rPr>
        <w:footnoteRef/>
      </w:r>
      <w:r w:rsidRPr="0006746D">
        <w:rPr>
          <w:color w:val="000000" w:themeColor="text1"/>
          <w:lang w:val="en-US"/>
        </w:rPr>
        <w:t xml:space="preserve"> EC, ‘Further Strengthening the Rule of Law within the Union’ (Communication) COM (2019) 163 final.</w:t>
      </w:r>
    </w:p>
  </w:footnote>
  <w:footnote w:id="109">
    <w:p w:rsidR="005F4C2E" w:rsidRPr="0006746D" w:rsidRDefault="005F4C2E" w:rsidP="00DA238E">
      <w:pPr>
        <w:pStyle w:val="FootnoteText"/>
        <w:spacing w:before="120" w:after="120"/>
        <w:jc w:val="both"/>
        <w:rPr>
          <w:color w:val="000000" w:themeColor="text1"/>
          <w:lang w:val="en-US"/>
        </w:rPr>
      </w:pPr>
      <w:r w:rsidRPr="0006746D">
        <w:rPr>
          <w:rStyle w:val="FootnoteReference"/>
          <w:color w:val="000000" w:themeColor="text1"/>
          <w:lang w:val="en-US"/>
        </w:rPr>
        <w:footnoteRef/>
      </w:r>
      <w:r w:rsidRPr="0006746D">
        <w:rPr>
          <w:color w:val="000000" w:themeColor="text1"/>
          <w:lang w:val="en-US"/>
        </w:rPr>
        <w:t xml:space="preserve"> ibid. </w:t>
      </w:r>
    </w:p>
  </w:footnote>
  <w:footnote w:id="110">
    <w:p w:rsidR="005F4C2E" w:rsidRPr="0006746D" w:rsidRDefault="005F4C2E" w:rsidP="00DA238E">
      <w:pPr>
        <w:spacing w:before="120" w:after="120"/>
        <w:jc w:val="both"/>
        <w:rPr>
          <w:color w:val="000000" w:themeColor="text1"/>
          <w:sz w:val="20"/>
          <w:szCs w:val="20"/>
          <w:lang w:val="en-US"/>
        </w:rPr>
      </w:pPr>
      <w:r w:rsidRPr="0006746D">
        <w:rPr>
          <w:rStyle w:val="FootnoteReference"/>
          <w:color w:val="000000" w:themeColor="text1"/>
          <w:sz w:val="20"/>
          <w:szCs w:val="20"/>
          <w:lang w:val="en-US"/>
        </w:rPr>
        <w:footnoteRef/>
      </w:r>
      <w:r w:rsidRPr="0006746D">
        <w:rPr>
          <w:color w:val="000000" w:themeColor="text1"/>
          <w:sz w:val="20"/>
          <w:szCs w:val="20"/>
          <w:lang w:val="en-US"/>
        </w:rPr>
        <w:t xml:space="preserve"> EP, ‘Parliamentary Questions’ (10 March 2020) </w:t>
      </w:r>
      <w:r w:rsidRPr="0006746D">
        <w:rPr>
          <w:rFonts w:asciiTheme="majorHAnsi" w:hAnsiTheme="majorHAnsi" w:cstheme="majorHAnsi"/>
          <w:color w:val="000000" w:themeColor="text1"/>
          <w:sz w:val="20"/>
          <w:szCs w:val="20"/>
          <w:lang w:val="en-US"/>
        </w:rPr>
        <w:t>&lt;</w:t>
      </w:r>
      <w:hyperlink r:id="rId19" w:history="1">
        <w:r w:rsidRPr="0006746D">
          <w:rPr>
            <w:color w:val="000000" w:themeColor="text1"/>
            <w:sz w:val="20"/>
            <w:szCs w:val="20"/>
            <w:u w:val="single"/>
            <w:lang w:val="en-US"/>
          </w:rPr>
          <w:t>www.europarl.europa.eu/doceo/document/P-9-2019-004437-ASW_EN.html</w:t>
        </w:r>
      </w:hyperlink>
      <w:r w:rsidRPr="0006746D">
        <w:rPr>
          <w:rFonts w:asciiTheme="majorHAnsi" w:hAnsiTheme="majorHAnsi" w:cstheme="majorHAnsi"/>
          <w:color w:val="000000" w:themeColor="text1"/>
          <w:sz w:val="20"/>
          <w:szCs w:val="20"/>
          <w:lang w:val="en-US"/>
        </w:rPr>
        <w:t xml:space="preserve">&gt; accessed </w:t>
      </w:r>
      <w:r w:rsidRPr="0006746D">
        <w:rPr>
          <w:rFonts w:asciiTheme="majorHAnsi" w:eastAsiaTheme="majorEastAsia" w:hAnsiTheme="majorHAnsi" w:cstheme="majorHAnsi"/>
          <w:color w:val="000000" w:themeColor="text1"/>
          <w:sz w:val="20"/>
          <w:szCs w:val="20"/>
          <w:lang w:val="en-US"/>
        </w:rPr>
        <w:t>29 April 2020.</w:t>
      </w:r>
    </w:p>
  </w:footnote>
  <w:footnote w:id="111">
    <w:p w:rsidR="005F4C2E" w:rsidRPr="0006746D" w:rsidRDefault="005F4C2E" w:rsidP="00DA238E">
      <w:pPr>
        <w:pStyle w:val="FootnoteText"/>
        <w:spacing w:before="120" w:after="120"/>
        <w:jc w:val="both"/>
      </w:pPr>
      <w:r w:rsidRPr="0006746D">
        <w:rPr>
          <w:rStyle w:val="FootnoteReference"/>
          <w:color w:val="000000" w:themeColor="text1"/>
          <w:lang w:val="en-US"/>
        </w:rPr>
        <w:footnoteRef/>
      </w:r>
      <w:r w:rsidRPr="0006746D">
        <w:rPr>
          <w:color w:val="000000" w:themeColor="text1"/>
          <w:lang w:val="en-US"/>
        </w:rPr>
        <w:t xml:space="preserve"> EC, ‘Commission Work Programme 2020’ (Communication) COM (2020) 37 final.</w:t>
      </w:r>
    </w:p>
  </w:footnote>
  <w:footnote w:id="112">
    <w:p w:rsidR="005F4C2E" w:rsidRPr="003B4E5A" w:rsidRDefault="005F4C2E" w:rsidP="003B4E5A">
      <w:pPr>
        <w:spacing w:before="120" w:after="120"/>
        <w:jc w:val="both"/>
        <w:rPr>
          <w:color w:val="000000" w:themeColor="text1"/>
          <w:sz w:val="20"/>
          <w:szCs w:val="20"/>
          <w:lang w:val="en-US"/>
        </w:rPr>
      </w:pPr>
      <w:r w:rsidRPr="0006746D">
        <w:rPr>
          <w:rStyle w:val="FootnoteReference"/>
          <w:color w:val="000000" w:themeColor="text1"/>
          <w:sz w:val="20"/>
          <w:szCs w:val="20"/>
          <w:lang w:val="en-US"/>
        </w:rPr>
        <w:footnoteRef/>
      </w:r>
      <w:r w:rsidRPr="0006746D">
        <w:rPr>
          <w:color w:val="000000" w:themeColor="text1"/>
          <w:sz w:val="20"/>
          <w:szCs w:val="20"/>
          <w:lang w:val="en-US"/>
        </w:rPr>
        <w:t xml:space="preserve"> JCSO, ‘From blueprint to footprint: Safeguarding media freedom and pluralism through the European Rule of Law Mechanism’ (April 2020) </w:t>
      </w:r>
      <w:r w:rsidRPr="0006746D">
        <w:rPr>
          <w:rFonts w:asciiTheme="majorHAnsi" w:hAnsiTheme="majorHAnsi" w:cstheme="majorHAnsi"/>
          <w:color w:val="000000" w:themeColor="text1"/>
          <w:sz w:val="20"/>
          <w:szCs w:val="20"/>
          <w:lang w:val="en-US"/>
        </w:rPr>
        <w:t>&lt;</w:t>
      </w:r>
      <w:hyperlink r:id="rId20" w:history="1">
        <w:r w:rsidRPr="0006746D">
          <w:rPr>
            <w:color w:val="000000" w:themeColor="text1"/>
            <w:sz w:val="20"/>
            <w:szCs w:val="20"/>
            <w:u w:val="single"/>
            <w:lang w:val="en-US"/>
          </w:rPr>
          <w:t>www.article19.org/wp-content/uploads/2020/04/Rule-of-Law-Joint-Recommendations-April-2020-1.pdf</w:t>
        </w:r>
      </w:hyperlink>
      <w:r w:rsidRPr="0006746D">
        <w:rPr>
          <w:rFonts w:asciiTheme="majorHAnsi" w:hAnsiTheme="majorHAnsi" w:cstheme="majorHAnsi"/>
          <w:color w:val="000000" w:themeColor="text1"/>
          <w:sz w:val="20"/>
          <w:szCs w:val="20"/>
          <w:lang w:val="en-US"/>
        </w:rPr>
        <w:t xml:space="preserve">&gt; accessed </w:t>
      </w:r>
      <w:r w:rsidRPr="0006746D">
        <w:rPr>
          <w:rFonts w:asciiTheme="majorHAnsi" w:eastAsiaTheme="majorEastAsia" w:hAnsiTheme="majorHAnsi" w:cstheme="majorHAnsi"/>
          <w:color w:val="000000" w:themeColor="text1"/>
          <w:sz w:val="20"/>
          <w:szCs w:val="20"/>
          <w:lang w:val="en-US"/>
        </w:rPr>
        <w:t>29 April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39B"/>
    <w:multiLevelType w:val="hybridMultilevel"/>
    <w:tmpl w:val="D23A9D7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042E6"/>
    <w:multiLevelType w:val="hybridMultilevel"/>
    <w:tmpl w:val="C922DB44"/>
    <w:lvl w:ilvl="0" w:tplc="041F0015">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B1F4834"/>
    <w:multiLevelType w:val="hybridMultilevel"/>
    <w:tmpl w:val="5802BD32"/>
    <w:lvl w:ilvl="0" w:tplc="1B1C420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1B90D83"/>
    <w:multiLevelType w:val="hybridMultilevel"/>
    <w:tmpl w:val="6450C5F6"/>
    <w:lvl w:ilvl="0" w:tplc="02B2C852">
      <w:start w:val="1"/>
      <w:numFmt w:val="decimal"/>
      <w:lvlText w:val="%1."/>
      <w:lvlJc w:val="left"/>
      <w:pPr>
        <w:ind w:left="720" w:hanging="360"/>
      </w:pPr>
      <w:rPr>
        <w:rFonts w:asciiTheme="majorHAnsi" w:hAnsiTheme="majorHAnsi" w:cstheme="maj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B94880"/>
    <w:multiLevelType w:val="hybridMultilevel"/>
    <w:tmpl w:val="6450C5F6"/>
    <w:lvl w:ilvl="0" w:tplc="02B2C852">
      <w:start w:val="1"/>
      <w:numFmt w:val="decimal"/>
      <w:lvlText w:val="%1."/>
      <w:lvlJc w:val="left"/>
      <w:pPr>
        <w:ind w:left="720" w:hanging="360"/>
      </w:pPr>
      <w:rPr>
        <w:rFonts w:asciiTheme="majorHAnsi" w:hAnsiTheme="majorHAnsi" w:cstheme="maj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297FC6"/>
    <w:multiLevelType w:val="multilevel"/>
    <w:tmpl w:val="E98AD7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CC7F51"/>
    <w:multiLevelType w:val="hybridMultilevel"/>
    <w:tmpl w:val="6450C5F6"/>
    <w:lvl w:ilvl="0" w:tplc="02B2C852">
      <w:start w:val="1"/>
      <w:numFmt w:val="decimal"/>
      <w:lvlText w:val="%1."/>
      <w:lvlJc w:val="left"/>
      <w:pPr>
        <w:ind w:left="720" w:hanging="360"/>
      </w:pPr>
      <w:rPr>
        <w:rFonts w:asciiTheme="majorHAnsi" w:hAnsiTheme="majorHAnsi" w:cstheme="maj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ACC0E1C"/>
    <w:multiLevelType w:val="hybridMultilevel"/>
    <w:tmpl w:val="D23A9D7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591F73"/>
    <w:multiLevelType w:val="multilevel"/>
    <w:tmpl w:val="6A84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1425AEC"/>
    <w:multiLevelType w:val="hybridMultilevel"/>
    <w:tmpl w:val="BB32E23A"/>
    <w:lvl w:ilvl="0" w:tplc="8D0ED43C">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4CB0AD6"/>
    <w:multiLevelType w:val="multilevel"/>
    <w:tmpl w:val="C3E6C9F0"/>
    <w:lvl w:ilvl="0">
      <w:start w:val="1"/>
      <w:numFmt w:val="decimal"/>
      <w:pStyle w:val="Heading1"/>
      <w:lvlText w:val="%1."/>
      <w:lvlJc w:val="left"/>
      <w:pPr>
        <w:ind w:left="0" w:firstLine="0"/>
      </w:pPr>
      <w:rPr>
        <w:rFonts w:ascii="Times New Roman" w:hAnsi="Times New Roman" w:hint="default"/>
        <w:b/>
        <w:i w:val="0"/>
        <w:sz w:val="24"/>
        <w:szCs w:val="24"/>
      </w:rPr>
    </w:lvl>
    <w:lvl w:ilvl="1">
      <w:start w:val="1"/>
      <w:numFmt w:val="decimal"/>
      <w:pStyle w:val="Heading2"/>
      <w:lvlText w:val="%1.%2."/>
      <w:lvlJc w:val="left"/>
      <w:pPr>
        <w:ind w:left="432" w:hanging="432"/>
      </w:pPr>
      <w:rPr>
        <w:rFonts w:ascii="Times New Roman" w:hAnsi="Times New Roman" w:hint="default"/>
        <w:b/>
        <w:i w:val="0"/>
        <w:sz w:val="24"/>
      </w:rPr>
    </w:lvl>
    <w:lvl w:ilvl="2">
      <w:start w:val="1"/>
      <w:numFmt w:val="decimal"/>
      <w:lvlText w:val="%1.%2.%3."/>
      <w:lvlJc w:val="left"/>
      <w:pPr>
        <w:ind w:left="1224" w:hanging="515"/>
      </w:pPr>
      <w:rPr>
        <w:rFonts w:ascii="Times New Roman" w:hAnsi="Times New Roman" w:hint="default"/>
        <w:b/>
        <w:i w:val="0"/>
        <w:sz w:val="24"/>
      </w:rPr>
    </w:lvl>
    <w:lvl w:ilvl="3">
      <w:start w:val="1"/>
      <w:numFmt w:val="decimal"/>
      <w:lvlText w:val="%3%1.%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0F7FEB"/>
    <w:multiLevelType w:val="hybridMultilevel"/>
    <w:tmpl w:val="1BD06A60"/>
    <w:lvl w:ilvl="0" w:tplc="1B1C420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024F3B"/>
    <w:multiLevelType w:val="hybridMultilevel"/>
    <w:tmpl w:val="87BA7BD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53D6511"/>
    <w:multiLevelType w:val="hybridMultilevel"/>
    <w:tmpl w:val="6450C5F6"/>
    <w:lvl w:ilvl="0" w:tplc="02B2C852">
      <w:start w:val="1"/>
      <w:numFmt w:val="decimal"/>
      <w:lvlText w:val="%1."/>
      <w:lvlJc w:val="left"/>
      <w:pPr>
        <w:ind w:left="720" w:hanging="360"/>
      </w:pPr>
      <w:rPr>
        <w:rFonts w:asciiTheme="majorHAnsi" w:hAnsiTheme="majorHAnsi" w:cstheme="maj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6EE544D"/>
    <w:multiLevelType w:val="multilevel"/>
    <w:tmpl w:val="FCE2159C"/>
    <w:lvl w:ilvl="0">
      <w:start w:val="2"/>
      <w:numFmt w:val="decimal"/>
      <w:lvlText w:val="%1."/>
      <w:lvlJc w:val="left"/>
      <w:pPr>
        <w:ind w:left="720" w:hanging="720"/>
      </w:pPr>
      <w:rPr>
        <w:rFonts w:hint="default"/>
      </w:rPr>
    </w:lvl>
    <w:lvl w:ilvl="1">
      <w:start w:val="5"/>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225716200"/>
      <w:numFmt w:val="decimal"/>
      <w:lvlText w:val="%1.%2.%3.%4.%5."/>
      <w:lvlJc w:val="left"/>
      <w:pPr>
        <w:ind w:left="3348" w:hanging="1080"/>
      </w:pPr>
      <w:rPr>
        <w:rFonts w:hint="default"/>
      </w:rPr>
    </w:lvl>
    <w:lvl w:ilvl="5">
      <w:start w:val="1222658048"/>
      <w:numFmt w:val="decimal"/>
      <w:lvlText w:val="%1.%2.%3.%4.%5.%6."/>
      <w:lvlJc w:val="left"/>
      <w:pPr>
        <w:ind w:left="3915" w:hanging="1080"/>
      </w:pPr>
      <w:rPr>
        <w:rFonts w:hint="default"/>
      </w:rPr>
    </w:lvl>
    <w:lvl w:ilvl="6">
      <w:start w:val="1220357904"/>
      <w:numFmt w:val="decimal"/>
      <w:lvlText w:val="%1.%2.%3.%4.%5.%6.%7."/>
      <w:lvlJc w:val="left"/>
      <w:pPr>
        <w:ind w:left="4842" w:hanging="1440"/>
      </w:pPr>
      <w:rPr>
        <w:rFonts w:hint="default"/>
      </w:rPr>
    </w:lvl>
    <w:lvl w:ilvl="7">
      <w:start w:val="1235844096"/>
      <w:numFmt w:val="decimal"/>
      <w:lvlText w:val="%1.%2.%3.%4.%5.%6.%7.%8."/>
      <w:lvlJc w:val="left"/>
      <w:pPr>
        <w:ind w:left="5409" w:hanging="1440"/>
      </w:pPr>
      <w:rPr>
        <w:rFonts w:hint="default"/>
      </w:rPr>
    </w:lvl>
    <w:lvl w:ilvl="8">
      <w:start w:val="268374015"/>
      <w:numFmt w:val="decimal"/>
      <w:lvlText w:val="%1.%2.%3.%4.%5.%6.%7.%8.%9."/>
      <w:lvlJc w:val="left"/>
      <w:pPr>
        <w:ind w:left="6336" w:hanging="1800"/>
      </w:pPr>
      <w:rPr>
        <w:rFonts w:hint="default"/>
      </w:rPr>
    </w:lvl>
  </w:abstractNum>
  <w:abstractNum w:abstractNumId="15" w15:restartNumberingAfterBreak="0">
    <w:nsid w:val="49B85FAF"/>
    <w:multiLevelType w:val="hybridMultilevel"/>
    <w:tmpl w:val="C5FCFA8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3876EA2"/>
    <w:multiLevelType w:val="hybridMultilevel"/>
    <w:tmpl w:val="7EDC5FD2"/>
    <w:lvl w:ilvl="0" w:tplc="35B822C0">
      <w:numFmt w:val="bullet"/>
      <w:lvlText w:val="-"/>
      <w:lvlJc w:val="left"/>
      <w:pPr>
        <w:ind w:left="720" w:hanging="360"/>
      </w:pPr>
      <w:rPr>
        <w:rFonts w:ascii="Times New Roman" w:eastAsiaTheme="minorHAnsi" w:hAnsi="Times New Roman" w:cs="Times New Roman"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4A31279"/>
    <w:multiLevelType w:val="hybridMultilevel"/>
    <w:tmpl w:val="C5FCFA8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9303484"/>
    <w:multiLevelType w:val="hybridMultilevel"/>
    <w:tmpl w:val="F51A8440"/>
    <w:lvl w:ilvl="0" w:tplc="5414F0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83C762F"/>
    <w:multiLevelType w:val="hybridMultilevel"/>
    <w:tmpl w:val="4F3C4260"/>
    <w:lvl w:ilvl="0" w:tplc="C4E41AD8">
      <w:start w:val="1"/>
      <w:numFmt w:val="bullet"/>
      <w:lvlText w:val="-"/>
      <w:lvlJc w:val="left"/>
      <w:pPr>
        <w:ind w:left="720" w:hanging="360"/>
      </w:pPr>
      <w:rPr>
        <w:rFonts w:ascii="Times New Roman" w:eastAsiaTheme="minorHAnsi" w:hAnsi="Times New Roman" w:cs="Times New Roman"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B862391"/>
    <w:multiLevelType w:val="hybridMultilevel"/>
    <w:tmpl w:val="E6EA23B0"/>
    <w:lvl w:ilvl="0" w:tplc="041F0013">
      <w:start w:val="1"/>
      <w:numFmt w:val="upperRoman"/>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DBE2F3F"/>
    <w:multiLevelType w:val="multilevel"/>
    <w:tmpl w:val="91783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0"/>
  </w:num>
  <w:num w:numId="3">
    <w:abstractNumId w:val="14"/>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0"/>
  </w:num>
  <w:num w:numId="8">
    <w:abstractNumId w:val="12"/>
  </w:num>
  <w:num w:numId="9">
    <w:abstractNumId w:val="4"/>
  </w:num>
  <w:num w:numId="10">
    <w:abstractNumId w:val="21"/>
  </w:num>
  <w:num w:numId="11">
    <w:abstractNumId w:val="20"/>
  </w:num>
  <w:num w:numId="12">
    <w:abstractNumId w:val="18"/>
  </w:num>
  <w:num w:numId="13">
    <w:abstractNumId w:val="19"/>
  </w:num>
  <w:num w:numId="14">
    <w:abstractNumId w:val="16"/>
  </w:num>
  <w:num w:numId="15">
    <w:abstractNumId w:val="9"/>
  </w:num>
  <w:num w:numId="16">
    <w:abstractNumId w:val="13"/>
  </w:num>
  <w:num w:numId="17">
    <w:abstractNumId w:val="3"/>
  </w:num>
  <w:num w:numId="18">
    <w:abstractNumId w:val="6"/>
  </w:num>
  <w:num w:numId="19">
    <w:abstractNumId w:val="17"/>
  </w:num>
  <w:num w:numId="20">
    <w:abstractNumId w:val="15"/>
  </w:num>
  <w:num w:numId="21">
    <w:abstractNumId w:val="7"/>
  </w:num>
  <w:num w:numId="22">
    <w:abstractNumId w:val="1"/>
  </w:num>
  <w:num w:numId="23">
    <w:abstractNumId w:val="2"/>
  </w:num>
  <w:num w:numId="24">
    <w:abstractNumId w:val="0"/>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E7F"/>
    <w:rsid w:val="0000010E"/>
    <w:rsid w:val="00000AD7"/>
    <w:rsid w:val="00003406"/>
    <w:rsid w:val="0000369E"/>
    <w:rsid w:val="00012C3C"/>
    <w:rsid w:val="000264C4"/>
    <w:rsid w:val="00033609"/>
    <w:rsid w:val="00035676"/>
    <w:rsid w:val="00053A49"/>
    <w:rsid w:val="00054288"/>
    <w:rsid w:val="00054557"/>
    <w:rsid w:val="00056EB5"/>
    <w:rsid w:val="000574EB"/>
    <w:rsid w:val="0006470E"/>
    <w:rsid w:val="000652B1"/>
    <w:rsid w:val="0006746D"/>
    <w:rsid w:val="0007339E"/>
    <w:rsid w:val="00083318"/>
    <w:rsid w:val="000A24F2"/>
    <w:rsid w:val="000A4E57"/>
    <w:rsid w:val="000B0400"/>
    <w:rsid w:val="000C0B29"/>
    <w:rsid w:val="000C1EC1"/>
    <w:rsid w:val="000C725D"/>
    <w:rsid w:val="000D51A9"/>
    <w:rsid w:val="000D5556"/>
    <w:rsid w:val="000E42B7"/>
    <w:rsid w:val="000E48E1"/>
    <w:rsid w:val="000F1FAE"/>
    <w:rsid w:val="000F2D8F"/>
    <w:rsid w:val="000F5AAF"/>
    <w:rsid w:val="00102E33"/>
    <w:rsid w:val="00104C96"/>
    <w:rsid w:val="001059D5"/>
    <w:rsid w:val="00105C8C"/>
    <w:rsid w:val="00121C90"/>
    <w:rsid w:val="00122735"/>
    <w:rsid w:val="00123292"/>
    <w:rsid w:val="00130A03"/>
    <w:rsid w:val="00130D6D"/>
    <w:rsid w:val="00137614"/>
    <w:rsid w:val="001565EB"/>
    <w:rsid w:val="001625AC"/>
    <w:rsid w:val="00170655"/>
    <w:rsid w:val="00174E8E"/>
    <w:rsid w:val="00177AD9"/>
    <w:rsid w:val="00182039"/>
    <w:rsid w:val="00190433"/>
    <w:rsid w:val="00190630"/>
    <w:rsid w:val="001A0AFC"/>
    <w:rsid w:val="001A114C"/>
    <w:rsid w:val="001A6C92"/>
    <w:rsid w:val="001B21F0"/>
    <w:rsid w:val="001C164C"/>
    <w:rsid w:val="001C6647"/>
    <w:rsid w:val="001C7379"/>
    <w:rsid w:val="001D5910"/>
    <w:rsid w:val="001E3386"/>
    <w:rsid w:val="002150A8"/>
    <w:rsid w:val="00221431"/>
    <w:rsid w:val="002264C5"/>
    <w:rsid w:val="002376FE"/>
    <w:rsid w:val="00244883"/>
    <w:rsid w:val="00250FBC"/>
    <w:rsid w:val="0025556F"/>
    <w:rsid w:val="00262040"/>
    <w:rsid w:val="002736A4"/>
    <w:rsid w:val="00274A6B"/>
    <w:rsid w:val="00277508"/>
    <w:rsid w:val="00284CD8"/>
    <w:rsid w:val="002852B1"/>
    <w:rsid w:val="002875C0"/>
    <w:rsid w:val="00293D03"/>
    <w:rsid w:val="0029404F"/>
    <w:rsid w:val="002A26D4"/>
    <w:rsid w:val="002B01DB"/>
    <w:rsid w:val="002B299C"/>
    <w:rsid w:val="002B3F59"/>
    <w:rsid w:val="002B6C98"/>
    <w:rsid w:val="002C0D88"/>
    <w:rsid w:val="002C51C6"/>
    <w:rsid w:val="002C6DB1"/>
    <w:rsid w:val="002D12B3"/>
    <w:rsid w:val="002D1CA1"/>
    <w:rsid w:val="002D210C"/>
    <w:rsid w:val="002D7047"/>
    <w:rsid w:val="002D782F"/>
    <w:rsid w:val="002D7922"/>
    <w:rsid w:val="0030721C"/>
    <w:rsid w:val="003260D1"/>
    <w:rsid w:val="00332184"/>
    <w:rsid w:val="00335629"/>
    <w:rsid w:val="00341713"/>
    <w:rsid w:val="00342040"/>
    <w:rsid w:val="00347155"/>
    <w:rsid w:val="0035321B"/>
    <w:rsid w:val="00355DD3"/>
    <w:rsid w:val="00360A9A"/>
    <w:rsid w:val="00362B06"/>
    <w:rsid w:val="003717DA"/>
    <w:rsid w:val="0037189B"/>
    <w:rsid w:val="00371E5A"/>
    <w:rsid w:val="003B2328"/>
    <w:rsid w:val="003B4665"/>
    <w:rsid w:val="003B4E5A"/>
    <w:rsid w:val="003B5A8A"/>
    <w:rsid w:val="003C4CF4"/>
    <w:rsid w:val="003D466E"/>
    <w:rsid w:val="003E393F"/>
    <w:rsid w:val="003F1EDF"/>
    <w:rsid w:val="004101D6"/>
    <w:rsid w:val="00416DE9"/>
    <w:rsid w:val="004178E2"/>
    <w:rsid w:val="00423208"/>
    <w:rsid w:val="00435F78"/>
    <w:rsid w:val="0044214B"/>
    <w:rsid w:val="00446DE6"/>
    <w:rsid w:val="004532CD"/>
    <w:rsid w:val="004533EC"/>
    <w:rsid w:val="004533F3"/>
    <w:rsid w:val="00456F88"/>
    <w:rsid w:val="0047078E"/>
    <w:rsid w:val="00471615"/>
    <w:rsid w:val="00471AE7"/>
    <w:rsid w:val="00472225"/>
    <w:rsid w:val="00477531"/>
    <w:rsid w:val="004802E4"/>
    <w:rsid w:val="00481B29"/>
    <w:rsid w:val="00486CF5"/>
    <w:rsid w:val="004911E0"/>
    <w:rsid w:val="00497E15"/>
    <w:rsid w:val="004A0E4C"/>
    <w:rsid w:val="004A2CB3"/>
    <w:rsid w:val="004A5445"/>
    <w:rsid w:val="004B6E29"/>
    <w:rsid w:val="004C2FE0"/>
    <w:rsid w:val="004C6ABF"/>
    <w:rsid w:val="004D54D4"/>
    <w:rsid w:val="004E3253"/>
    <w:rsid w:val="004E5C8C"/>
    <w:rsid w:val="00500769"/>
    <w:rsid w:val="00500CC8"/>
    <w:rsid w:val="0050272C"/>
    <w:rsid w:val="0050438C"/>
    <w:rsid w:val="0051007D"/>
    <w:rsid w:val="00512EBB"/>
    <w:rsid w:val="00516E90"/>
    <w:rsid w:val="00520B50"/>
    <w:rsid w:val="0052129A"/>
    <w:rsid w:val="00532172"/>
    <w:rsid w:val="00547711"/>
    <w:rsid w:val="005477F5"/>
    <w:rsid w:val="0055717D"/>
    <w:rsid w:val="0055785F"/>
    <w:rsid w:val="00557C93"/>
    <w:rsid w:val="00586573"/>
    <w:rsid w:val="0059131B"/>
    <w:rsid w:val="005B6895"/>
    <w:rsid w:val="005C3FC5"/>
    <w:rsid w:val="005D13D2"/>
    <w:rsid w:val="005D258C"/>
    <w:rsid w:val="005D2E88"/>
    <w:rsid w:val="005E0905"/>
    <w:rsid w:val="005E7B28"/>
    <w:rsid w:val="005F1C9B"/>
    <w:rsid w:val="005F249F"/>
    <w:rsid w:val="005F38E7"/>
    <w:rsid w:val="005F4C2E"/>
    <w:rsid w:val="00604BCD"/>
    <w:rsid w:val="006107EF"/>
    <w:rsid w:val="00621FF4"/>
    <w:rsid w:val="00622539"/>
    <w:rsid w:val="00627EA1"/>
    <w:rsid w:val="00630A0B"/>
    <w:rsid w:val="00643FDF"/>
    <w:rsid w:val="00646F2D"/>
    <w:rsid w:val="00651FBA"/>
    <w:rsid w:val="00660D9F"/>
    <w:rsid w:val="006633EA"/>
    <w:rsid w:val="00664138"/>
    <w:rsid w:val="00666D3D"/>
    <w:rsid w:val="006729FF"/>
    <w:rsid w:val="00677FB1"/>
    <w:rsid w:val="00683546"/>
    <w:rsid w:val="0069453B"/>
    <w:rsid w:val="0069562E"/>
    <w:rsid w:val="00695E6D"/>
    <w:rsid w:val="006A14DB"/>
    <w:rsid w:val="006A4AB1"/>
    <w:rsid w:val="006B64E8"/>
    <w:rsid w:val="006C02C9"/>
    <w:rsid w:val="006C08A2"/>
    <w:rsid w:val="006C25CE"/>
    <w:rsid w:val="006C6FE3"/>
    <w:rsid w:val="006D56EA"/>
    <w:rsid w:val="006D5EB8"/>
    <w:rsid w:val="006E3AB6"/>
    <w:rsid w:val="006E7110"/>
    <w:rsid w:val="006F63C0"/>
    <w:rsid w:val="0070432D"/>
    <w:rsid w:val="00705A70"/>
    <w:rsid w:val="0071081E"/>
    <w:rsid w:val="00715B38"/>
    <w:rsid w:val="00715C2C"/>
    <w:rsid w:val="00727DB4"/>
    <w:rsid w:val="00731B85"/>
    <w:rsid w:val="00731FA3"/>
    <w:rsid w:val="00744E35"/>
    <w:rsid w:val="00754B91"/>
    <w:rsid w:val="0075657D"/>
    <w:rsid w:val="007627EE"/>
    <w:rsid w:val="00764525"/>
    <w:rsid w:val="00772E42"/>
    <w:rsid w:val="007762CA"/>
    <w:rsid w:val="00776B94"/>
    <w:rsid w:val="00785F12"/>
    <w:rsid w:val="00791B05"/>
    <w:rsid w:val="00793329"/>
    <w:rsid w:val="0079788E"/>
    <w:rsid w:val="007A5B10"/>
    <w:rsid w:val="007A7ABA"/>
    <w:rsid w:val="007B650E"/>
    <w:rsid w:val="007B67AF"/>
    <w:rsid w:val="007C50C3"/>
    <w:rsid w:val="007C77D1"/>
    <w:rsid w:val="007D4938"/>
    <w:rsid w:val="007D5E21"/>
    <w:rsid w:val="007E0C0E"/>
    <w:rsid w:val="007E29A9"/>
    <w:rsid w:val="007F3E38"/>
    <w:rsid w:val="007F6633"/>
    <w:rsid w:val="00805B39"/>
    <w:rsid w:val="0081263E"/>
    <w:rsid w:val="0081437F"/>
    <w:rsid w:val="00820C11"/>
    <w:rsid w:val="008306E4"/>
    <w:rsid w:val="00831CB1"/>
    <w:rsid w:val="0083578E"/>
    <w:rsid w:val="00847C1B"/>
    <w:rsid w:val="008575A5"/>
    <w:rsid w:val="00866942"/>
    <w:rsid w:val="008711B7"/>
    <w:rsid w:val="0088150F"/>
    <w:rsid w:val="008902C7"/>
    <w:rsid w:val="00897789"/>
    <w:rsid w:val="008B0E8F"/>
    <w:rsid w:val="008D0FAC"/>
    <w:rsid w:val="008E4939"/>
    <w:rsid w:val="008E49F2"/>
    <w:rsid w:val="008E6363"/>
    <w:rsid w:val="008F10F0"/>
    <w:rsid w:val="008F4731"/>
    <w:rsid w:val="009015AD"/>
    <w:rsid w:val="009120CD"/>
    <w:rsid w:val="009166E7"/>
    <w:rsid w:val="00922AB4"/>
    <w:rsid w:val="00925D00"/>
    <w:rsid w:val="00931DAD"/>
    <w:rsid w:val="00943250"/>
    <w:rsid w:val="00943FB5"/>
    <w:rsid w:val="00953B04"/>
    <w:rsid w:val="0095568E"/>
    <w:rsid w:val="009559B3"/>
    <w:rsid w:val="00960BE6"/>
    <w:rsid w:val="0097565E"/>
    <w:rsid w:val="00976799"/>
    <w:rsid w:val="00987A5C"/>
    <w:rsid w:val="009941E9"/>
    <w:rsid w:val="00995F8F"/>
    <w:rsid w:val="0099776E"/>
    <w:rsid w:val="009A3283"/>
    <w:rsid w:val="009A6DB1"/>
    <w:rsid w:val="009B002E"/>
    <w:rsid w:val="009B2B20"/>
    <w:rsid w:val="009B2BB8"/>
    <w:rsid w:val="009C3220"/>
    <w:rsid w:val="009C7658"/>
    <w:rsid w:val="009E23AE"/>
    <w:rsid w:val="009F0188"/>
    <w:rsid w:val="009F2615"/>
    <w:rsid w:val="009F4B08"/>
    <w:rsid w:val="009F5762"/>
    <w:rsid w:val="009F6F0B"/>
    <w:rsid w:val="00A01E30"/>
    <w:rsid w:val="00A04B2B"/>
    <w:rsid w:val="00A27EC9"/>
    <w:rsid w:val="00A33DF2"/>
    <w:rsid w:val="00A36F66"/>
    <w:rsid w:val="00A37284"/>
    <w:rsid w:val="00A44488"/>
    <w:rsid w:val="00A52BC3"/>
    <w:rsid w:val="00A758F2"/>
    <w:rsid w:val="00A81224"/>
    <w:rsid w:val="00A81A18"/>
    <w:rsid w:val="00A83F43"/>
    <w:rsid w:val="00A87A56"/>
    <w:rsid w:val="00A91353"/>
    <w:rsid w:val="00A9312E"/>
    <w:rsid w:val="00A93559"/>
    <w:rsid w:val="00A95FF6"/>
    <w:rsid w:val="00AA0DE7"/>
    <w:rsid w:val="00AA1F1A"/>
    <w:rsid w:val="00AA3274"/>
    <w:rsid w:val="00AA4564"/>
    <w:rsid w:val="00AA4D57"/>
    <w:rsid w:val="00AB06A4"/>
    <w:rsid w:val="00AB07B6"/>
    <w:rsid w:val="00AB2C9B"/>
    <w:rsid w:val="00AB4E32"/>
    <w:rsid w:val="00AC6A5E"/>
    <w:rsid w:val="00AD71D5"/>
    <w:rsid w:val="00AE1F6A"/>
    <w:rsid w:val="00AE1FDE"/>
    <w:rsid w:val="00AE3C5B"/>
    <w:rsid w:val="00AE462E"/>
    <w:rsid w:val="00B000AD"/>
    <w:rsid w:val="00B00B70"/>
    <w:rsid w:val="00B30EEE"/>
    <w:rsid w:val="00B420F7"/>
    <w:rsid w:val="00B46946"/>
    <w:rsid w:val="00B52CB1"/>
    <w:rsid w:val="00B57DB8"/>
    <w:rsid w:val="00B613C7"/>
    <w:rsid w:val="00B80BDE"/>
    <w:rsid w:val="00B81BE6"/>
    <w:rsid w:val="00BA28CB"/>
    <w:rsid w:val="00BA3464"/>
    <w:rsid w:val="00BB6AD2"/>
    <w:rsid w:val="00BB7C40"/>
    <w:rsid w:val="00BC69A6"/>
    <w:rsid w:val="00BD229F"/>
    <w:rsid w:val="00BE640F"/>
    <w:rsid w:val="00BF38D1"/>
    <w:rsid w:val="00BF705B"/>
    <w:rsid w:val="00C01E2E"/>
    <w:rsid w:val="00C036E6"/>
    <w:rsid w:val="00C04E1F"/>
    <w:rsid w:val="00C1450C"/>
    <w:rsid w:val="00C15132"/>
    <w:rsid w:val="00C20E30"/>
    <w:rsid w:val="00C33288"/>
    <w:rsid w:val="00C372F2"/>
    <w:rsid w:val="00C44398"/>
    <w:rsid w:val="00C54D3A"/>
    <w:rsid w:val="00C56110"/>
    <w:rsid w:val="00C61B44"/>
    <w:rsid w:val="00C66934"/>
    <w:rsid w:val="00C672EE"/>
    <w:rsid w:val="00C72577"/>
    <w:rsid w:val="00C778AF"/>
    <w:rsid w:val="00C83DB4"/>
    <w:rsid w:val="00CA09CD"/>
    <w:rsid w:val="00CB52A0"/>
    <w:rsid w:val="00CD41BF"/>
    <w:rsid w:val="00D11914"/>
    <w:rsid w:val="00D12399"/>
    <w:rsid w:val="00D12713"/>
    <w:rsid w:val="00D13B95"/>
    <w:rsid w:val="00D154FA"/>
    <w:rsid w:val="00D23C8D"/>
    <w:rsid w:val="00D24D4D"/>
    <w:rsid w:val="00D24F4F"/>
    <w:rsid w:val="00D252DA"/>
    <w:rsid w:val="00D26835"/>
    <w:rsid w:val="00D30EAE"/>
    <w:rsid w:val="00D410F3"/>
    <w:rsid w:val="00D52CAC"/>
    <w:rsid w:val="00D57208"/>
    <w:rsid w:val="00D57323"/>
    <w:rsid w:val="00D608C8"/>
    <w:rsid w:val="00D71F20"/>
    <w:rsid w:val="00D730D1"/>
    <w:rsid w:val="00D731CB"/>
    <w:rsid w:val="00D74299"/>
    <w:rsid w:val="00D77716"/>
    <w:rsid w:val="00D84101"/>
    <w:rsid w:val="00D857FA"/>
    <w:rsid w:val="00D950A1"/>
    <w:rsid w:val="00DA082D"/>
    <w:rsid w:val="00DA128E"/>
    <w:rsid w:val="00DA1DF7"/>
    <w:rsid w:val="00DA238E"/>
    <w:rsid w:val="00DA2B4E"/>
    <w:rsid w:val="00DA387D"/>
    <w:rsid w:val="00DA6877"/>
    <w:rsid w:val="00DB37D0"/>
    <w:rsid w:val="00DC22E7"/>
    <w:rsid w:val="00DC71B2"/>
    <w:rsid w:val="00DD1D37"/>
    <w:rsid w:val="00DD57C4"/>
    <w:rsid w:val="00DE693E"/>
    <w:rsid w:val="00DF260F"/>
    <w:rsid w:val="00E05C69"/>
    <w:rsid w:val="00E106A1"/>
    <w:rsid w:val="00E11E7F"/>
    <w:rsid w:val="00E12923"/>
    <w:rsid w:val="00E212B7"/>
    <w:rsid w:val="00E2706D"/>
    <w:rsid w:val="00E40FED"/>
    <w:rsid w:val="00E475A7"/>
    <w:rsid w:val="00E47939"/>
    <w:rsid w:val="00E5042D"/>
    <w:rsid w:val="00E620E0"/>
    <w:rsid w:val="00E632F5"/>
    <w:rsid w:val="00E63616"/>
    <w:rsid w:val="00E74290"/>
    <w:rsid w:val="00E8255F"/>
    <w:rsid w:val="00E925EE"/>
    <w:rsid w:val="00EA70CE"/>
    <w:rsid w:val="00EA71A4"/>
    <w:rsid w:val="00EB056D"/>
    <w:rsid w:val="00EC1546"/>
    <w:rsid w:val="00EC187A"/>
    <w:rsid w:val="00EC39B2"/>
    <w:rsid w:val="00EC5099"/>
    <w:rsid w:val="00EF4E3D"/>
    <w:rsid w:val="00F01832"/>
    <w:rsid w:val="00F05EB8"/>
    <w:rsid w:val="00F12518"/>
    <w:rsid w:val="00F13C45"/>
    <w:rsid w:val="00F1730A"/>
    <w:rsid w:val="00F2226D"/>
    <w:rsid w:val="00F30080"/>
    <w:rsid w:val="00F37647"/>
    <w:rsid w:val="00F37A64"/>
    <w:rsid w:val="00F37FFC"/>
    <w:rsid w:val="00F45EFC"/>
    <w:rsid w:val="00F47E87"/>
    <w:rsid w:val="00F51291"/>
    <w:rsid w:val="00F64F7F"/>
    <w:rsid w:val="00F651FB"/>
    <w:rsid w:val="00F6563C"/>
    <w:rsid w:val="00F76EEA"/>
    <w:rsid w:val="00F77578"/>
    <w:rsid w:val="00F8057B"/>
    <w:rsid w:val="00F8780D"/>
    <w:rsid w:val="00FE156B"/>
    <w:rsid w:val="00FE6819"/>
    <w:rsid w:val="00FF158B"/>
    <w:rsid w:val="00FF5DB4"/>
    <w:rsid w:val="00FF63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FEF35-7D8A-544E-B120-E91EA4FF8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B056D"/>
    <w:rPr>
      <w:rFonts w:ascii="Times New Roman" w:eastAsia="Times New Roman" w:hAnsi="Times New Roman" w:cs="Times New Roman"/>
      <w:lang w:eastAsia="tr-TR"/>
    </w:rPr>
  </w:style>
  <w:style w:type="paragraph" w:styleId="Heading1">
    <w:name w:val="heading 1"/>
    <w:aliases w:val="A1"/>
    <w:basedOn w:val="Normal"/>
    <w:next w:val="Normal"/>
    <w:link w:val="Heading1Char"/>
    <w:uiPriority w:val="9"/>
    <w:qFormat/>
    <w:rsid w:val="00341713"/>
    <w:pPr>
      <w:keepNext/>
      <w:keepLines/>
      <w:numPr>
        <w:numId w:val="7"/>
      </w:numPr>
      <w:spacing w:before="360" w:after="360" w:line="360" w:lineRule="auto"/>
      <w:jc w:val="center"/>
      <w:outlineLvl w:val="0"/>
    </w:pPr>
    <w:rPr>
      <w:rFonts w:eastAsiaTheme="majorEastAsia"/>
      <w:b/>
      <w:color w:val="000000" w:themeColor="text1"/>
      <w:sz w:val="28"/>
      <w:szCs w:val="28"/>
      <w:lang w:eastAsia="en-US"/>
    </w:rPr>
  </w:style>
  <w:style w:type="paragraph" w:styleId="Heading2">
    <w:name w:val="heading 2"/>
    <w:aliases w:val="A2"/>
    <w:basedOn w:val="Normal"/>
    <w:next w:val="Normal"/>
    <w:link w:val="Heading2Char"/>
    <w:autoRedefine/>
    <w:uiPriority w:val="9"/>
    <w:unhideWhenUsed/>
    <w:qFormat/>
    <w:rsid w:val="00472225"/>
    <w:pPr>
      <w:keepNext/>
      <w:keepLines/>
      <w:numPr>
        <w:ilvl w:val="1"/>
        <w:numId w:val="2"/>
      </w:numPr>
      <w:adjustRightInd w:val="0"/>
      <w:spacing w:before="360" w:after="360" w:line="360" w:lineRule="auto"/>
      <w:ind w:left="1140" w:hanging="431"/>
      <w:outlineLvl w:val="1"/>
    </w:pPr>
    <w:rPr>
      <w:rFonts w:eastAsiaTheme="majorEastAsia" w:cstheme="majorBidi"/>
      <w:b/>
      <w:color w:val="000000" w:themeColor="text1"/>
      <w:szCs w:val="26"/>
    </w:rPr>
  </w:style>
  <w:style w:type="paragraph" w:styleId="Heading3">
    <w:name w:val="heading 3"/>
    <w:aliases w:val="A3"/>
    <w:basedOn w:val="Normal"/>
    <w:next w:val="Normal"/>
    <w:link w:val="Heading3Char"/>
    <w:autoRedefine/>
    <w:uiPriority w:val="9"/>
    <w:unhideWhenUsed/>
    <w:qFormat/>
    <w:rsid w:val="00341713"/>
    <w:pPr>
      <w:keepNext/>
      <w:keepLines/>
      <w:numPr>
        <w:ilvl w:val="2"/>
        <w:numId w:val="4"/>
      </w:numPr>
      <w:spacing w:before="360" w:after="360" w:line="360" w:lineRule="auto"/>
      <w:ind w:left="1224" w:hanging="515"/>
      <w:jc w:val="both"/>
      <w:outlineLvl w:val="2"/>
    </w:pPr>
    <w:rPr>
      <w:rFonts w:eastAsiaTheme="majorEastAsia"/>
      <w:b/>
      <w:color w:val="000000" w:themeColor="text1"/>
    </w:rPr>
  </w:style>
  <w:style w:type="paragraph" w:styleId="Heading4">
    <w:name w:val="heading 4"/>
    <w:basedOn w:val="Normal"/>
    <w:next w:val="Normal"/>
    <w:link w:val="Heading4Char"/>
    <w:uiPriority w:val="9"/>
    <w:unhideWhenUsed/>
    <w:qFormat/>
    <w:rsid w:val="00341713"/>
    <w:pPr>
      <w:keepNext/>
      <w:keepLines/>
      <w:numPr>
        <w:ilvl w:val="3"/>
        <w:numId w:val="5"/>
      </w:numPr>
      <w:spacing w:before="360" w:after="360" w:line="360" w:lineRule="auto"/>
      <w:ind w:left="2421"/>
      <w:jc w:val="both"/>
      <w:outlineLvl w:val="3"/>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1 Char"/>
    <w:basedOn w:val="DefaultParagraphFont"/>
    <w:link w:val="Heading1"/>
    <w:uiPriority w:val="9"/>
    <w:rsid w:val="00341713"/>
    <w:rPr>
      <w:rFonts w:ascii="Times New Roman" w:eastAsiaTheme="majorEastAsia" w:hAnsi="Times New Roman" w:cs="Times New Roman"/>
      <w:b/>
      <w:color w:val="000000" w:themeColor="text1"/>
      <w:sz w:val="28"/>
      <w:szCs w:val="28"/>
    </w:rPr>
  </w:style>
  <w:style w:type="character" w:customStyle="1" w:styleId="Heading2Char">
    <w:name w:val="Heading 2 Char"/>
    <w:aliases w:val="A2 Char"/>
    <w:basedOn w:val="DefaultParagraphFont"/>
    <w:link w:val="Heading2"/>
    <w:uiPriority w:val="9"/>
    <w:rsid w:val="00472225"/>
    <w:rPr>
      <w:rFonts w:ascii="Times New Roman" w:eastAsiaTheme="majorEastAsia" w:hAnsi="Times New Roman" w:cstheme="majorBidi"/>
      <w:b/>
      <w:color w:val="000000" w:themeColor="text1"/>
      <w:szCs w:val="26"/>
      <w:lang w:eastAsia="tr-TR"/>
    </w:rPr>
  </w:style>
  <w:style w:type="character" w:customStyle="1" w:styleId="Heading3Char">
    <w:name w:val="Heading 3 Char"/>
    <w:aliases w:val="A3 Char"/>
    <w:basedOn w:val="DefaultParagraphFont"/>
    <w:link w:val="Heading3"/>
    <w:uiPriority w:val="9"/>
    <w:rsid w:val="00341713"/>
    <w:rPr>
      <w:rFonts w:ascii="Times New Roman" w:eastAsiaTheme="majorEastAsia" w:hAnsi="Times New Roman" w:cs="Times New Roman"/>
      <w:b/>
      <w:color w:val="000000" w:themeColor="text1"/>
      <w:lang w:eastAsia="tr-TR"/>
    </w:rPr>
  </w:style>
  <w:style w:type="character" w:customStyle="1" w:styleId="Heading4Char">
    <w:name w:val="Heading 4 Char"/>
    <w:basedOn w:val="DefaultParagraphFont"/>
    <w:link w:val="Heading4"/>
    <w:uiPriority w:val="9"/>
    <w:rsid w:val="00341713"/>
    <w:rPr>
      <w:rFonts w:ascii="Times New Roman" w:eastAsiaTheme="majorEastAsia" w:hAnsi="Times New Roman" w:cstheme="majorBidi"/>
      <w:b/>
      <w:iCs/>
      <w:color w:val="000000" w:themeColor="text1"/>
      <w:lang w:eastAsia="tr-TR"/>
    </w:rPr>
  </w:style>
  <w:style w:type="paragraph" w:styleId="Title">
    <w:name w:val="Title"/>
    <w:aliases w:val="Özel Sayfa Başlığı"/>
    <w:basedOn w:val="Normal"/>
    <w:next w:val="Normal"/>
    <w:link w:val="TitleChar"/>
    <w:autoRedefine/>
    <w:uiPriority w:val="10"/>
    <w:qFormat/>
    <w:rsid w:val="00341713"/>
    <w:pPr>
      <w:spacing w:line="360" w:lineRule="auto"/>
      <w:contextualSpacing/>
    </w:pPr>
    <w:rPr>
      <w:rFonts w:eastAsiaTheme="majorEastAsia" w:cstheme="majorBidi"/>
      <w:b/>
      <w:color w:val="000000" w:themeColor="text1"/>
      <w:spacing w:val="-10"/>
      <w:kern w:val="28"/>
      <w:szCs w:val="56"/>
    </w:rPr>
  </w:style>
  <w:style w:type="character" w:customStyle="1" w:styleId="TitleChar">
    <w:name w:val="Title Char"/>
    <w:aliases w:val="Özel Sayfa Başlığı Char"/>
    <w:basedOn w:val="DefaultParagraphFont"/>
    <w:link w:val="Title"/>
    <w:uiPriority w:val="10"/>
    <w:rsid w:val="00341713"/>
    <w:rPr>
      <w:rFonts w:ascii="Times New Roman" w:eastAsiaTheme="majorEastAsia" w:hAnsi="Times New Roman" w:cstheme="majorBidi"/>
      <w:b/>
      <w:color w:val="000000" w:themeColor="text1"/>
      <w:spacing w:val="-10"/>
      <w:kern w:val="28"/>
      <w:szCs w:val="56"/>
      <w:lang w:eastAsia="tr-TR"/>
    </w:rPr>
  </w:style>
  <w:style w:type="paragraph" w:styleId="ListParagraph">
    <w:name w:val="List Paragraph"/>
    <w:basedOn w:val="Normal"/>
    <w:uiPriority w:val="34"/>
    <w:qFormat/>
    <w:rsid w:val="00341713"/>
    <w:pPr>
      <w:ind w:left="720"/>
      <w:contextualSpacing/>
    </w:pPr>
    <w:rPr>
      <w:rFonts w:asciiTheme="minorHAnsi" w:hAnsiTheme="minorHAnsi"/>
      <w:lang w:eastAsia="en-US"/>
    </w:rPr>
  </w:style>
  <w:style w:type="paragraph" w:styleId="TOCHeading">
    <w:name w:val="TOC Heading"/>
    <w:basedOn w:val="Heading1"/>
    <w:next w:val="Normal"/>
    <w:uiPriority w:val="39"/>
    <w:unhideWhenUsed/>
    <w:qFormat/>
    <w:rsid w:val="00341713"/>
    <w:pPr>
      <w:numPr>
        <w:numId w:val="0"/>
      </w:numPr>
      <w:spacing w:before="480" w:line="276" w:lineRule="auto"/>
      <w:outlineLvl w:val="9"/>
    </w:pPr>
    <w:rPr>
      <w:b w:val="0"/>
      <w:bCs/>
      <w:lang w:eastAsia="tr-TR"/>
    </w:rPr>
  </w:style>
  <w:style w:type="paragraph" w:styleId="TOC1">
    <w:name w:val="toc 1"/>
    <w:basedOn w:val="Normal"/>
    <w:next w:val="Normal"/>
    <w:autoRedefine/>
    <w:uiPriority w:val="39"/>
    <w:unhideWhenUsed/>
    <w:qFormat/>
    <w:rsid w:val="00472225"/>
    <w:pPr>
      <w:spacing w:before="120" w:line="360" w:lineRule="auto"/>
    </w:pPr>
    <w:rPr>
      <w:rFonts w:cstheme="minorHAnsi"/>
    </w:rPr>
  </w:style>
  <w:style w:type="paragraph" w:styleId="TOC2">
    <w:name w:val="toc 2"/>
    <w:basedOn w:val="Normal"/>
    <w:next w:val="Normal"/>
    <w:autoRedefine/>
    <w:uiPriority w:val="39"/>
    <w:unhideWhenUsed/>
    <w:qFormat/>
    <w:rsid w:val="00472225"/>
    <w:pPr>
      <w:ind w:left="708"/>
    </w:pPr>
  </w:style>
  <w:style w:type="paragraph" w:styleId="TOC3">
    <w:name w:val="toc 3"/>
    <w:basedOn w:val="Normal"/>
    <w:next w:val="Normal"/>
    <w:autoRedefine/>
    <w:uiPriority w:val="39"/>
    <w:unhideWhenUsed/>
    <w:qFormat/>
    <w:rsid w:val="00472225"/>
    <w:pPr>
      <w:spacing w:line="360" w:lineRule="auto"/>
      <w:ind w:left="1416"/>
    </w:pPr>
    <w:rPr>
      <w:rFonts w:eastAsiaTheme="majorEastAsia"/>
      <w:color w:val="000000" w:themeColor="text1"/>
    </w:rPr>
  </w:style>
  <w:style w:type="paragraph" w:styleId="TOC4">
    <w:name w:val="toc 4"/>
    <w:basedOn w:val="Normal"/>
    <w:next w:val="Normal"/>
    <w:autoRedefine/>
    <w:uiPriority w:val="39"/>
    <w:unhideWhenUsed/>
    <w:qFormat/>
    <w:rsid w:val="00472225"/>
    <w:pPr>
      <w:spacing w:line="360" w:lineRule="auto"/>
      <w:ind w:left="2124"/>
    </w:pPr>
  </w:style>
  <w:style w:type="paragraph" w:styleId="Footer">
    <w:name w:val="footer"/>
    <w:basedOn w:val="Normal"/>
    <w:link w:val="FooterChar"/>
    <w:uiPriority w:val="99"/>
    <w:unhideWhenUsed/>
    <w:rsid w:val="00E11E7F"/>
    <w:pPr>
      <w:tabs>
        <w:tab w:val="center" w:pos="4536"/>
        <w:tab w:val="right" w:pos="9072"/>
      </w:tabs>
    </w:pPr>
  </w:style>
  <w:style w:type="character" w:customStyle="1" w:styleId="FooterChar">
    <w:name w:val="Footer Char"/>
    <w:basedOn w:val="DefaultParagraphFont"/>
    <w:link w:val="Footer"/>
    <w:uiPriority w:val="99"/>
    <w:rsid w:val="00E11E7F"/>
    <w:rPr>
      <w:rFonts w:ascii="Times New Roman" w:eastAsia="Times New Roman" w:hAnsi="Times New Roman" w:cs="Times New Roman"/>
      <w:lang w:eastAsia="tr-TR"/>
    </w:rPr>
  </w:style>
  <w:style w:type="character" w:styleId="PageNumber">
    <w:name w:val="page number"/>
    <w:basedOn w:val="DefaultParagraphFont"/>
    <w:uiPriority w:val="99"/>
    <w:semiHidden/>
    <w:unhideWhenUsed/>
    <w:rsid w:val="00E11E7F"/>
  </w:style>
  <w:style w:type="character" w:styleId="Hyperlink">
    <w:name w:val="Hyperlink"/>
    <w:basedOn w:val="DefaultParagraphFont"/>
    <w:uiPriority w:val="99"/>
    <w:unhideWhenUsed/>
    <w:rsid w:val="00E11E7F"/>
    <w:rPr>
      <w:color w:val="0000FF"/>
      <w:u w:val="single"/>
    </w:rPr>
  </w:style>
  <w:style w:type="character" w:styleId="FootnoteReference">
    <w:name w:val="footnote reference"/>
    <w:basedOn w:val="DefaultParagraphFont"/>
    <w:uiPriority w:val="99"/>
    <w:semiHidden/>
    <w:unhideWhenUsed/>
    <w:rsid w:val="00E11E7F"/>
    <w:rPr>
      <w:vertAlign w:val="superscript"/>
    </w:rPr>
  </w:style>
  <w:style w:type="paragraph" w:styleId="FootnoteText">
    <w:name w:val="footnote text"/>
    <w:basedOn w:val="Normal"/>
    <w:link w:val="FootnoteTextChar"/>
    <w:uiPriority w:val="99"/>
    <w:unhideWhenUsed/>
    <w:rsid w:val="00E11E7F"/>
    <w:rPr>
      <w:rFonts w:eastAsiaTheme="minorHAnsi" w:cstheme="minorBidi"/>
      <w:sz w:val="20"/>
      <w:szCs w:val="20"/>
    </w:rPr>
  </w:style>
  <w:style w:type="character" w:customStyle="1" w:styleId="FootnoteTextChar">
    <w:name w:val="Footnote Text Char"/>
    <w:basedOn w:val="DefaultParagraphFont"/>
    <w:link w:val="FootnoteText"/>
    <w:uiPriority w:val="99"/>
    <w:rsid w:val="00E11E7F"/>
    <w:rPr>
      <w:rFonts w:ascii="Times New Roman" w:hAnsi="Times New Roman"/>
      <w:sz w:val="20"/>
      <w:szCs w:val="20"/>
      <w:lang w:eastAsia="tr-TR"/>
    </w:rPr>
  </w:style>
  <w:style w:type="paragraph" w:styleId="NormalWeb">
    <w:name w:val="Normal (Web)"/>
    <w:basedOn w:val="Normal"/>
    <w:uiPriority w:val="99"/>
    <w:unhideWhenUsed/>
    <w:rsid w:val="002C0D88"/>
    <w:pPr>
      <w:spacing w:before="100" w:beforeAutospacing="1" w:after="100" w:afterAutospacing="1"/>
    </w:pPr>
  </w:style>
  <w:style w:type="paragraph" w:styleId="Header">
    <w:name w:val="header"/>
    <w:basedOn w:val="Normal"/>
    <w:link w:val="HeaderChar"/>
    <w:uiPriority w:val="99"/>
    <w:unhideWhenUsed/>
    <w:rsid w:val="002B3F59"/>
    <w:pPr>
      <w:tabs>
        <w:tab w:val="center" w:pos="4536"/>
        <w:tab w:val="right" w:pos="9072"/>
      </w:tabs>
    </w:pPr>
  </w:style>
  <w:style w:type="character" w:customStyle="1" w:styleId="HeaderChar">
    <w:name w:val="Header Char"/>
    <w:basedOn w:val="DefaultParagraphFont"/>
    <w:link w:val="Header"/>
    <w:uiPriority w:val="99"/>
    <w:rsid w:val="002B3F59"/>
    <w:rPr>
      <w:rFonts w:ascii="Times New Roman" w:eastAsia="Times New Roman" w:hAnsi="Times New Roman" w:cs="Times New Roman"/>
      <w:lang w:eastAsia="tr-TR"/>
    </w:rPr>
  </w:style>
  <w:style w:type="character" w:styleId="FollowedHyperlink">
    <w:name w:val="FollowedHyperlink"/>
    <w:basedOn w:val="DefaultParagraphFont"/>
    <w:uiPriority w:val="99"/>
    <w:semiHidden/>
    <w:unhideWhenUsed/>
    <w:rsid w:val="00C44398"/>
    <w:rPr>
      <w:color w:val="954F72" w:themeColor="followedHyperlink"/>
      <w:u w:val="single"/>
    </w:rPr>
  </w:style>
  <w:style w:type="character" w:styleId="UnresolvedMention">
    <w:name w:val="Unresolved Mention"/>
    <w:basedOn w:val="DefaultParagraphFont"/>
    <w:uiPriority w:val="99"/>
    <w:rsid w:val="007B67AF"/>
    <w:rPr>
      <w:color w:val="605E5C"/>
      <w:shd w:val="clear" w:color="auto" w:fill="E1DFDD"/>
    </w:rPr>
  </w:style>
  <w:style w:type="character" w:customStyle="1" w:styleId="apple-converted-space">
    <w:name w:val="apple-converted-space"/>
    <w:basedOn w:val="DefaultParagraphFont"/>
    <w:rsid w:val="0079788E"/>
  </w:style>
  <w:style w:type="character" w:styleId="Strong">
    <w:name w:val="Strong"/>
    <w:basedOn w:val="DefaultParagraphFont"/>
    <w:uiPriority w:val="22"/>
    <w:qFormat/>
    <w:rsid w:val="0079788E"/>
    <w:rPr>
      <w:b/>
      <w:bCs/>
    </w:rPr>
  </w:style>
  <w:style w:type="paragraph" w:styleId="EndnoteText">
    <w:name w:val="endnote text"/>
    <w:basedOn w:val="Normal"/>
    <w:link w:val="EndnoteTextChar"/>
    <w:uiPriority w:val="99"/>
    <w:semiHidden/>
    <w:unhideWhenUsed/>
    <w:rsid w:val="0097565E"/>
    <w:rPr>
      <w:sz w:val="20"/>
      <w:szCs w:val="20"/>
    </w:rPr>
  </w:style>
  <w:style w:type="character" w:customStyle="1" w:styleId="EndnoteTextChar">
    <w:name w:val="Endnote Text Char"/>
    <w:basedOn w:val="DefaultParagraphFont"/>
    <w:link w:val="EndnoteText"/>
    <w:uiPriority w:val="99"/>
    <w:semiHidden/>
    <w:rsid w:val="0097565E"/>
    <w:rPr>
      <w:rFonts w:ascii="Times New Roman" w:eastAsia="Times New Roman" w:hAnsi="Times New Roman" w:cs="Times New Roman"/>
      <w:sz w:val="20"/>
      <w:szCs w:val="20"/>
      <w:lang w:eastAsia="tr-TR"/>
    </w:rPr>
  </w:style>
  <w:style w:type="character" w:styleId="EndnoteReference">
    <w:name w:val="endnote reference"/>
    <w:basedOn w:val="DefaultParagraphFont"/>
    <w:uiPriority w:val="99"/>
    <w:semiHidden/>
    <w:unhideWhenUsed/>
    <w:rsid w:val="0097565E"/>
    <w:rPr>
      <w:vertAlign w:val="superscript"/>
    </w:rPr>
  </w:style>
  <w:style w:type="character" w:customStyle="1" w:styleId="tab">
    <w:name w:val="tab"/>
    <w:basedOn w:val="DefaultParagraphFont"/>
    <w:rsid w:val="00053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134">
      <w:bodyDiv w:val="1"/>
      <w:marLeft w:val="0"/>
      <w:marRight w:val="0"/>
      <w:marTop w:val="0"/>
      <w:marBottom w:val="0"/>
      <w:divBdr>
        <w:top w:val="none" w:sz="0" w:space="0" w:color="auto"/>
        <w:left w:val="none" w:sz="0" w:space="0" w:color="auto"/>
        <w:bottom w:val="none" w:sz="0" w:space="0" w:color="auto"/>
        <w:right w:val="none" w:sz="0" w:space="0" w:color="auto"/>
      </w:divBdr>
    </w:div>
    <w:div w:id="9068196">
      <w:bodyDiv w:val="1"/>
      <w:marLeft w:val="0"/>
      <w:marRight w:val="0"/>
      <w:marTop w:val="0"/>
      <w:marBottom w:val="0"/>
      <w:divBdr>
        <w:top w:val="none" w:sz="0" w:space="0" w:color="auto"/>
        <w:left w:val="none" w:sz="0" w:space="0" w:color="auto"/>
        <w:bottom w:val="none" w:sz="0" w:space="0" w:color="auto"/>
        <w:right w:val="none" w:sz="0" w:space="0" w:color="auto"/>
      </w:divBdr>
    </w:div>
    <w:div w:id="14234109">
      <w:bodyDiv w:val="1"/>
      <w:marLeft w:val="0"/>
      <w:marRight w:val="0"/>
      <w:marTop w:val="0"/>
      <w:marBottom w:val="0"/>
      <w:divBdr>
        <w:top w:val="none" w:sz="0" w:space="0" w:color="auto"/>
        <w:left w:val="none" w:sz="0" w:space="0" w:color="auto"/>
        <w:bottom w:val="none" w:sz="0" w:space="0" w:color="auto"/>
        <w:right w:val="none" w:sz="0" w:space="0" w:color="auto"/>
      </w:divBdr>
    </w:div>
    <w:div w:id="30307871">
      <w:bodyDiv w:val="1"/>
      <w:marLeft w:val="0"/>
      <w:marRight w:val="0"/>
      <w:marTop w:val="0"/>
      <w:marBottom w:val="0"/>
      <w:divBdr>
        <w:top w:val="none" w:sz="0" w:space="0" w:color="auto"/>
        <w:left w:val="none" w:sz="0" w:space="0" w:color="auto"/>
        <w:bottom w:val="none" w:sz="0" w:space="0" w:color="auto"/>
        <w:right w:val="none" w:sz="0" w:space="0" w:color="auto"/>
      </w:divBdr>
    </w:div>
    <w:div w:id="42139928">
      <w:bodyDiv w:val="1"/>
      <w:marLeft w:val="0"/>
      <w:marRight w:val="0"/>
      <w:marTop w:val="0"/>
      <w:marBottom w:val="0"/>
      <w:divBdr>
        <w:top w:val="none" w:sz="0" w:space="0" w:color="auto"/>
        <w:left w:val="none" w:sz="0" w:space="0" w:color="auto"/>
        <w:bottom w:val="none" w:sz="0" w:space="0" w:color="auto"/>
        <w:right w:val="none" w:sz="0" w:space="0" w:color="auto"/>
      </w:divBdr>
    </w:div>
    <w:div w:id="48965999">
      <w:bodyDiv w:val="1"/>
      <w:marLeft w:val="0"/>
      <w:marRight w:val="0"/>
      <w:marTop w:val="0"/>
      <w:marBottom w:val="0"/>
      <w:divBdr>
        <w:top w:val="none" w:sz="0" w:space="0" w:color="auto"/>
        <w:left w:val="none" w:sz="0" w:space="0" w:color="auto"/>
        <w:bottom w:val="none" w:sz="0" w:space="0" w:color="auto"/>
        <w:right w:val="none" w:sz="0" w:space="0" w:color="auto"/>
      </w:divBdr>
    </w:div>
    <w:div w:id="49966899">
      <w:bodyDiv w:val="1"/>
      <w:marLeft w:val="0"/>
      <w:marRight w:val="0"/>
      <w:marTop w:val="0"/>
      <w:marBottom w:val="0"/>
      <w:divBdr>
        <w:top w:val="none" w:sz="0" w:space="0" w:color="auto"/>
        <w:left w:val="none" w:sz="0" w:space="0" w:color="auto"/>
        <w:bottom w:val="none" w:sz="0" w:space="0" w:color="auto"/>
        <w:right w:val="none" w:sz="0" w:space="0" w:color="auto"/>
      </w:divBdr>
    </w:div>
    <w:div w:id="50808492">
      <w:bodyDiv w:val="1"/>
      <w:marLeft w:val="0"/>
      <w:marRight w:val="0"/>
      <w:marTop w:val="0"/>
      <w:marBottom w:val="0"/>
      <w:divBdr>
        <w:top w:val="none" w:sz="0" w:space="0" w:color="auto"/>
        <w:left w:val="none" w:sz="0" w:space="0" w:color="auto"/>
        <w:bottom w:val="none" w:sz="0" w:space="0" w:color="auto"/>
        <w:right w:val="none" w:sz="0" w:space="0" w:color="auto"/>
      </w:divBdr>
    </w:div>
    <w:div w:id="55402020">
      <w:bodyDiv w:val="1"/>
      <w:marLeft w:val="0"/>
      <w:marRight w:val="0"/>
      <w:marTop w:val="0"/>
      <w:marBottom w:val="0"/>
      <w:divBdr>
        <w:top w:val="none" w:sz="0" w:space="0" w:color="auto"/>
        <w:left w:val="none" w:sz="0" w:space="0" w:color="auto"/>
        <w:bottom w:val="none" w:sz="0" w:space="0" w:color="auto"/>
        <w:right w:val="none" w:sz="0" w:space="0" w:color="auto"/>
      </w:divBdr>
    </w:div>
    <w:div w:id="57368739">
      <w:bodyDiv w:val="1"/>
      <w:marLeft w:val="0"/>
      <w:marRight w:val="0"/>
      <w:marTop w:val="0"/>
      <w:marBottom w:val="0"/>
      <w:divBdr>
        <w:top w:val="none" w:sz="0" w:space="0" w:color="auto"/>
        <w:left w:val="none" w:sz="0" w:space="0" w:color="auto"/>
        <w:bottom w:val="none" w:sz="0" w:space="0" w:color="auto"/>
        <w:right w:val="none" w:sz="0" w:space="0" w:color="auto"/>
      </w:divBdr>
    </w:div>
    <w:div w:id="64376087">
      <w:bodyDiv w:val="1"/>
      <w:marLeft w:val="0"/>
      <w:marRight w:val="0"/>
      <w:marTop w:val="0"/>
      <w:marBottom w:val="0"/>
      <w:divBdr>
        <w:top w:val="none" w:sz="0" w:space="0" w:color="auto"/>
        <w:left w:val="none" w:sz="0" w:space="0" w:color="auto"/>
        <w:bottom w:val="none" w:sz="0" w:space="0" w:color="auto"/>
        <w:right w:val="none" w:sz="0" w:space="0" w:color="auto"/>
      </w:divBdr>
    </w:div>
    <w:div w:id="117921922">
      <w:bodyDiv w:val="1"/>
      <w:marLeft w:val="0"/>
      <w:marRight w:val="0"/>
      <w:marTop w:val="0"/>
      <w:marBottom w:val="0"/>
      <w:divBdr>
        <w:top w:val="none" w:sz="0" w:space="0" w:color="auto"/>
        <w:left w:val="none" w:sz="0" w:space="0" w:color="auto"/>
        <w:bottom w:val="none" w:sz="0" w:space="0" w:color="auto"/>
        <w:right w:val="none" w:sz="0" w:space="0" w:color="auto"/>
      </w:divBdr>
    </w:div>
    <w:div w:id="124276327">
      <w:bodyDiv w:val="1"/>
      <w:marLeft w:val="0"/>
      <w:marRight w:val="0"/>
      <w:marTop w:val="0"/>
      <w:marBottom w:val="0"/>
      <w:divBdr>
        <w:top w:val="none" w:sz="0" w:space="0" w:color="auto"/>
        <w:left w:val="none" w:sz="0" w:space="0" w:color="auto"/>
        <w:bottom w:val="none" w:sz="0" w:space="0" w:color="auto"/>
        <w:right w:val="none" w:sz="0" w:space="0" w:color="auto"/>
      </w:divBdr>
    </w:div>
    <w:div w:id="125515641">
      <w:bodyDiv w:val="1"/>
      <w:marLeft w:val="0"/>
      <w:marRight w:val="0"/>
      <w:marTop w:val="0"/>
      <w:marBottom w:val="0"/>
      <w:divBdr>
        <w:top w:val="none" w:sz="0" w:space="0" w:color="auto"/>
        <w:left w:val="none" w:sz="0" w:space="0" w:color="auto"/>
        <w:bottom w:val="none" w:sz="0" w:space="0" w:color="auto"/>
        <w:right w:val="none" w:sz="0" w:space="0" w:color="auto"/>
      </w:divBdr>
    </w:div>
    <w:div w:id="182209226">
      <w:bodyDiv w:val="1"/>
      <w:marLeft w:val="0"/>
      <w:marRight w:val="0"/>
      <w:marTop w:val="0"/>
      <w:marBottom w:val="0"/>
      <w:divBdr>
        <w:top w:val="none" w:sz="0" w:space="0" w:color="auto"/>
        <w:left w:val="none" w:sz="0" w:space="0" w:color="auto"/>
        <w:bottom w:val="none" w:sz="0" w:space="0" w:color="auto"/>
        <w:right w:val="none" w:sz="0" w:space="0" w:color="auto"/>
      </w:divBdr>
    </w:div>
    <w:div w:id="196551483">
      <w:bodyDiv w:val="1"/>
      <w:marLeft w:val="0"/>
      <w:marRight w:val="0"/>
      <w:marTop w:val="0"/>
      <w:marBottom w:val="0"/>
      <w:divBdr>
        <w:top w:val="none" w:sz="0" w:space="0" w:color="auto"/>
        <w:left w:val="none" w:sz="0" w:space="0" w:color="auto"/>
        <w:bottom w:val="none" w:sz="0" w:space="0" w:color="auto"/>
        <w:right w:val="none" w:sz="0" w:space="0" w:color="auto"/>
      </w:divBdr>
    </w:div>
    <w:div w:id="199510773">
      <w:bodyDiv w:val="1"/>
      <w:marLeft w:val="0"/>
      <w:marRight w:val="0"/>
      <w:marTop w:val="0"/>
      <w:marBottom w:val="0"/>
      <w:divBdr>
        <w:top w:val="none" w:sz="0" w:space="0" w:color="auto"/>
        <w:left w:val="none" w:sz="0" w:space="0" w:color="auto"/>
        <w:bottom w:val="none" w:sz="0" w:space="0" w:color="auto"/>
        <w:right w:val="none" w:sz="0" w:space="0" w:color="auto"/>
      </w:divBdr>
    </w:div>
    <w:div w:id="243221813">
      <w:bodyDiv w:val="1"/>
      <w:marLeft w:val="0"/>
      <w:marRight w:val="0"/>
      <w:marTop w:val="0"/>
      <w:marBottom w:val="0"/>
      <w:divBdr>
        <w:top w:val="none" w:sz="0" w:space="0" w:color="auto"/>
        <w:left w:val="none" w:sz="0" w:space="0" w:color="auto"/>
        <w:bottom w:val="none" w:sz="0" w:space="0" w:color="auto"/>
        <w:right w:val="none" w:sz="0" w:space="0" w:color="auto"/>
      </w:divBdr>
    </w:div>
    <w:div w:id="259411360">
      <w:bodyDiv w:val="1"/>
      <w:marLeft w:val="0"/>
      <w:marRight w:val="0"/>
      <w:marTop w:val="0"/>
      <w:marBottom w:val="0"/>
      <w:divBdr>
        <w:top w:val="none" w:sz="0" w:space="0" w:color="auto"/>
        <w:left w:val="none" w:sz="0" w:space="0" w:color="auto"/>
        <w:bottom w:val="none" w:sz="0" w:space="0" w:color="auto"/>
        <w:right w:val="none" w:sz="0" w:space="0" w:color="auto"/>
      </w:divBdr>
    </w:div>
    <w:div w:id="264852959">
      <w:bodyDiv w:val="1"/>
      <w:marLeft w:val="0"/>
      <w:marRight w:val="0"/>
      <w:marTop w:val="0"/>
      <w:marBottom w:val="0"/>
      <w:divBdr>
        <w:top w:val="none" w:sz="0" w:space="0" w:color="auto"/>
        <w:left w:val="none" w:sz="0" w:space="0" w:color="auto"/>
        <w:bottom w:val="none" w:sz="0" w:space="0" w:color="auto"/>
        <w:right w:val="none" w:sz="0" w:space="0" w:color="auto"/>
      </w:divBdr>
    </w:div>
    <w:div w:id="267741074">
      <w:bodyDiv w:val="1"/>
      <w:marLeft w:val="0"/>
      <w:marRight w:val="0"/>
      <w:marTop w:val="0"/>
      <w:marBottom w:val="0"/>
      <w:divBdr>
        <w:top w:val="none" w:sz="0" w:space="0" w:color="auto"/>
        <w:left w:val="none" w:sz="0" w:space="0" w:color="auto"/>
        <w:bottom w:val="none" w:sz="0" w:space="0" w:color="auto"/>
        <w:right w:val="none" w:sz="0" w:space="0" w:color="auto"/>
      </w:divBdr>
    </w:div>
    <w:div w:id="286739098">
      <w:bodyDiv w:val="1"/>
      <w:marLeft w:val="0"/>
      <w:marRight w:val="0"/>
      <w:marTop w:val="0"/>
      <w:marBottom w:val="0"/>
      <w:divBdr>
        <w:top w:val="none" w:sz="0" w:space="0" w:color="auto"/>
        <w:left w:val="none" w:sz="0" w:space="0" w:color="auto"/>
        <w:bottom w:val="none" w:sz="0" w:space="0" w:color="auto"/>
        <w:right w:val="none" w:sz="0" w:space="0" w:color="auto"/>
      </w:divBdr>
    </w:div>
    <w:div w:id="292946296">
      <w:bodyDiv w:val="1"/>
      <w:marLeft w:val="0"/>
      <w:marRight w:val="0"/>
      <w:marTop w:val="0"/>
      <w:marBottom w:val="0"/>
      <w:divBdr>
        <w:top w:val="none" w:sz="0" w:space="0" w:color="auto"/>
        <w:left w:val="none" w:sz="0" w:space="0" w:color="auto"/>
        <w:bottom w:val="none" w:sz="0" w:space="0" w:color="auto"/>
        <w:right w:val="none" w:sz="0" w:space="0" w:color="auto"/>
      </w:divBdr>
    </w:div>
    <w:div w:id="306131836">
      <w:bodyDiv w:val="1"/>
      <w:marLeft w:val="0"/>
      <w:marRight w:val="0"/>
      <w:marTop w:val="0"/>
      <w:marBottom w:val="0"/>
      <w:divBdr>
        <w:top w:val="none" w:sz="0" w:space="0" w:color="auto"/>
        <w:left w:val="none" w:sz="0" w:space="0" w:color="auto"/>
        <w:bottom w:val="none" w:sz="0" w:space="0" w:color="auto"/>
        <w:right w:val="none" w:sz="0" w:space="0" w:color="auto"/>
      </w:divBdr>
    </w:div>
    <w:div w:id="330834363">
      <w:bodyDiv w:val="1"/>
      <w:marLeft w:val="0"/>
      <w:marRight w:val="0"/>
      <w:marTop w:val="0"/>
      <w:marBottom w:val="0"/>
      <w:divBdr>
        <w:top w:val="none" w:sz="0" w:space="0" w:color="auto"/>
        <w:left w:val="none" w:sz="0" w:space="0" w:color="auto"/>
        <w:bottom w:val="none" w:sz="0" w:space="0" w:color="auto"/>
        <w:right w:val="none" w:sz="0" w:space="0" w:color="auto"/>
      </w:divBdr>
    </w:div>
    <w:div w:id="370615559">
      <w:bodyDiv w:val="1"/>
      <w:marLeft w:val="0"/>
      <w:marRight w:val="0"/>
      <w:marTop w:val="0"/>
      <w:marBottom w:val="0"/>
      <w:divBdr>
        <w:top w:val="none" w:sz="0" w:space="0" w:color="auto"/>
        <w:left w:val="none" w:sz="0" w:space="0" w:color="auto"/>
        <w:bottom w:val="none" w:sz="0" w:space="0" w:color="auto"/>
        <w:right w:val="none" w:sz="0" w:space="0" w:color="auto"/>
      </w:divBdr>
    </w:div>
    <w:div w:id="382097894">
      <w:bodyDiv w:val="1"/>
      <w:marLeft w:val="0"/>
      <w:marRight w:val="0"/>
      <w:marTop w:val="0"/>
      <w:marBottom w:val="0"/>
      <w:divBdr>
        <w:top w:val="none" w:sz="0" w:space="0" w:color="auto"/>
        <w:left w:val="none" w:sz="0" w:space="0" w:color="auto"/>
        <w:bottom w:val="none" w:sz="0" w:space="0" w:color="auto"/>
        <w:right w:val="none" w:sz="0" w:space="0" w:color="auto"/>
      </w:divBdr>
    </w:div>
    <w:div w:id="397899029">
      <w:bodyDiv w:val="1"/>
      <w:marLeft w:val="0"/>
      <w:marRight w:val="0"/>
      <w:marTop w:val="0"/>
      <w:marBottom w:val="0"/>
      <w:divBdr>
        <w:top w:val="none" w:sz="0" w:space="0" w:color="auto"/>
        <w:left w:val="none" w:sz="0" w:space="0" w:color="auto"/>
        <w:bottom w:val="none" w:sz="0" w:space="0" w:color="auto"/>
        <w:right w:val="none" w:sz="0" w:space="0" w:color="auto"/>
      </w:divBdr>
    </w:div>
    <w:div w:id="402146985">
      <w:bodyDiv w:val="1"/>
      <w:marLeft w:val="0"/>
      <w:marRight w:val="0"/>
      <w:marTop w:val="0"/>
      <w:marBottom w:val="0"/>
      <w:divBdr>
        <w:top w:val="none" w:sz="0" w:space="0" w:color="auto"/>
        <w:left w:val="none" w:sz="0" w:space="0" w:color="auto"/>
        <w:bottom w:val="none" w:sz="0" w:space="0" w:color="auto"/>
        <w:right w:val="none" w:sz="0" w:space="0" w:color="auto"/>
      </w:divBdr>
    </w:div>
    <w:div w:id="421724306">
      <w:bodyDiv w:val="1"/>
      <w:marLeft w:val="0"/>
      <w:marRight w:val="0"/>
      <w:marTop w:val="0"/>
      <w:marBottom w:val="0"/>
      <w:divBdr>
        <w:top w:val="none" w:sz="0" w:space="0" w:color="auto"/>
        <w:left w:val="none" w:sz="0" w:space="0" w:color="auto"/>
        <w:bottom w:val="none" w:sz="0" w:space="0" w:color="auto"/>
        <w:right w:val="none" w:sz="0" w:space="0" w:color="auto"/>
      </w:divBdr>
    </w:div>
    <w:div w:id="490216241">
      <w:bodyDiv w:val="1"/>
      <w:marLeft w:val="0"/>
      <w:marRight w:val="0"/>
      <w:marTop w:val="0"/>
      <w:marBottom w:val="0"/>
      <w:divBdr>
        <w:top w:val="none" w:sz="0" w:space="0" w:color="auto"/>
        <w:left w:val="none" w:sz="0" w:space="0" w:color="auto"/>
        <w:bottom w:val="none" w:sz="0" w:space="0" w:color="auto"/>
        <w:right w:val="none" w:sz="0" w:space="0" w:color="auto"/>
      </w:divBdr>
    </w:div>
    <w:div w:id="538470597">
      <w:bodyDiv w:val="1"/>
      <w:marLeft w:val="0"/>
      <w:marRight w:val="0"/>
      <w:marTop w:val="0"/>
      <w:marBottom w:val="0"/>
      <w:divBdr>
        <w:top w:val="none" w:sz="0" w:space="0" w:color="auto"/>
        <w:left w:val="none" w:sz="0" w:space="0" w:color="auto"/>
        <w:bottom w:val="none" w:sz="0" w:space="0" w:color="auto"/>
        <w:right w:val="none" w:sz="0" w:space="0" w:color="auto"/>
      </w:divBdr>
    </w:div>
    <w:div w:id="552500032">
      <w:bodyDiv w:val="1"/>
      <w:marLeft w:val="0"/>
      <w:marRight w:val="0"/>
      <w:marTop w:val="0"/>
      <w:marBottom w:val="0"/>
      <w:divBdr>
        <w:top w:val="none" w:sz="0" w:space="0" w:color="auto"/>
        <w:left w:val="none" w:sz="0" w:space="0" w:color="auto"/>
        <w:bottom w:val="none" w:sz="0" w:space="0" w:color="auto"/>
        <w:right w:val="none" w:sz="0" w:space="0" w:color="auto"/>
      </w:divBdr>
    </w:div>
    <w:div w:id="610085784">
      <w:bodyDiv w:val="1"/>
      <w:marLeft w:val="0"/>
      <w:marRight w:val="0"/>
      <w:marTop w:val="0"/>
      <w:marBottom w:val="0"/>
      <w:divBdr>
        <w:top w:val="none" w:sz="0" w:space="0" w:color="auto"/>
        <w:left w:val="none" w:sz="0" w:space="0" w:color="auto"/>
        <w:bottom w:val="none" w:sz="0" w:space="0" w:color="auto"/>
        <w:right w:val="none" w:sz="0" w:space="0" w:color="auto"/>
      </w:divBdr>
    </w:div>
    <w:div w:id="655844566">
      <w:bodyDiv w:val="1"/>
      <w:marLeft w:val="0"/>
      <w:marRight w:val="0"/>
      <w:marTop w:val="0"/>
      <w:marBottom w:val="0"/>
      <w:divBdr>
        <w:top w:val="none" w:sz="0" w:space="0" w:color="auto"/>
        <w:left w:val="none" w:sz="0" w:space="0" w:color="auto"/>
        <w:bottom w:val="none" w:sz="0" w:space="0" w:color="auto"/>
        <w:right w:val="none" w:sz="0" w:space="0" w:color="auto"/>
      </w:divBdr>
    </w:div>
    <w:div w:id="666446237">
      <w:bodyDiv w:val="1"/>
      <w:marLeft w:val="0"/>
      <w:marRight w:val="0"/>
      <w:marTop w:val="0"/>
      <w:marBottom w:val="0"/>
      <w:divBdr>
        <w:top w:val="none" w:sz="0" w:space="0" w:color="auto"/>
        <w:left w:val="none" w:sz="0" w:space="0" w:color="auto"/>
        <w:bottom w:val="none" w:sz="0" w:space="0" w:color="auto"/>
        <w:right w:val="none" w:sz="0" w:space="0" w:color="auto"/>
      </w:divBdr>
    </w:div>
    <w:div w:id="675881979">
      <w:bodyDiv w:val="1"/>
      <w:marLeft w:val="0"/>
      <w:marRight w:val="0"/>
      <w:marTop w:val="0"/>
      <w:marBottom w:val="0"/>
      <w:divBdr>
        <w:top w:val="none" w:sz="0" w:space="0" w:color="auto"/>
        <w:left w:val="none" w:sz="0" w:space="0" w:color="auto"/>
        <w:bottom w:val="none" w:sz="0" w:space="0" w:color="auto"/>
        <w:right w:val="none" w:sz="0" w:space="0" w:color="auto"/>
      </w:divBdr>
    </w:div>
    <w:div w:id="682826032">
      <w:bodyDiv w:val="1"/>
      <w:marLeft w:val="0"/>
      <w:marRight w:val="0"/>
      <w:marTop w:val="0"/>
      <w:marBottom w:val="0"/>
      <w:divBdr>
        <w:top w:val="none" w:sz="0" w:space="0" w:color="auto"/>
        <w:left w:val="none" w:sz="0" w:space="0" w:color="auto"/>
        <w:bottom w:val="none" w:sz="0" w:space="0" w:color="auto"/>
        <w:right w:val="none" w:sz="0" w:space="0" w:color="auto"/>
      </w:divBdr>
    </w:div>
    <w:div w:id="690839839">
      <w:bodyDiv w:val="1"/>
      <w:marLeft w:val="0"/>
      <w:marRight w:val="0"/>
      <w:marTop w:val="0"/>
      <w:marBottom w:val="0"/>
      <w:divBdr>
        <w:top w:val="none" w:sz="0" w:space="0" w:color="auto"/>
        <w:left w:val="none" w:sz="0" w:space="0" w:color="auto"/>
        <w:bottom w:val="none" w:sz="0" w:space="0" w:color="auto"/>
        <w:right w:val="none" w:sz="0" w:space="0" w:color="auto"/>
      </w:divBdr>
    </w:div>
    <w:div w:id="746732828">
      <w:bodyDiv w:val="1"/>
      <w:marLeft w:val="0"/>
      <w:marRight w:val="0"/>
      <w:marTop w:val="0"/>
      <w:marBottom w:val="0"/>
      <w:divBdr>
        <w:top w:val="none" w:sz="0" w:space="0" w:color="auto"/>
        <w:left w:val="none" w:sz="0" w:space="0" w:color="auto"/>
        <w:bottom w:val="none" w:sz="0" w:space="0" w:color="auto"/>
        <w:right w:val="none" w:sz="0" w:space="0" w:color="auto"/>
      </w:divBdr>
    </w:div>
    <w:div w:id="746806836">
      <w:bodyDiv w:val="1"/>
      <w:marLeft w:val="0"/>
      <w:marRight w:val="0"/>
      <w:marTop w:val="0"/>
      <w:marBottom w:val="0"/>
      <w:divBdr>
        <w:top w:val="none" w:sz="0" w:space="0" w:color="auto"/>
        <w:left w:val="none" w:sz="0" w:space="0" w:color="auto"/>
        <w:bottom w:val="none" w:sz="0" w:space="0" w:color="auto"/>
        <w:right w:val="none" w:sz="0" w:space="0" w:color="auto"/>
      </w:divBdr>
    </w:div>
    <w:div w:id="758527503">
      <w:bodyDiv w:val="1"/>
      <w:marLeft w:val="0"/>
      <w:marRight w:val="0"/>
      <w:marTop w:val="0"/>
      <w:marBottom w:val="0"/>
      <w:divBdr>
        <w:top w:val="none" w:sz="0" w:space="0" w:color="auto"/>
        <w:left w:val="none" w:sz="0" w:space="0" w:color="auto"/>
        <w:bottom w:val="none" w:sz="0" w:space="0" w:color="auto"/>
        <w:right w:val="none" w:sz="0" w:space="0" w:color="auto"/>
      </w:divBdr>
    </w:div>
    <w:div w:id="793599434">
      <w:bodyDiv w:val="1"/>
      <w:marLeft w:val="0"/>
      <w:marRight w:val="0"/>
      <w:marTop w:val="0"/>
      <w:marBottom w:val="0"/>
      <w:divBdr>
        <w:top w:val="none" w:sz="0" w:space="0" w:color="auto"/>
        <w:left w:val="none" w:sz="0" w:space="0" w:color="auto"/>
        <w:bottom w:val="none" w:sz="0" w:space="0" w:color="auto"/>
        <w:right w:val="none" w:sz="0" w:space="0" w:color="auto"/>
      </w:divBdr>
    </w:div>
    <w:div w:id="856192885">
      <w:bodyDiv w:val="1"/>
      <w:marLeft w:val="0"/>
      <w:marRight w:val="0"/>
      <w:marTop w:val="0"/>
      <w:marBottom w:val="0"/>
      <w:divBdr>
        <w:top w:val="none" w:sz="0" w:space="0" w:color="auto"/>
        <w:left w:val="none" w:sz="0" w:space="0" w:color="auto"/>
        <w:bottom w:val="none" w:sz="0" w:space="0" w:color="auto"/>
        <w:right w:val="none" w:sz="0" w:space="0" w:color="auto"/>
      </w:divBdr>
    </w:div>
    <w:div w:id="876161583">
      <w:bodyDiv w:val="1"/>
      <w:marLeft w:val="0"/>
      <w:marRight w:val="0"/>
      <w:marTop w:val="0"/>
      <w:marBottom w:val="0"/>
      <w:divBdr>
        <w:top w:val="none" w:sz="0" w:space="0" w:color="auto"/>
        <w:left w:val="none" w:sz="0" w:space="0" w:color="auto"/>
        <w:bottom w:val="none" w:sz="0" w:space="0" w:color="auto"/>
        <w:right w:val="none" w:sz="0" w:space="0" w:color="auto"/>
      </w:divBdr>
    </w:div>
    <w:div w:id="880477592">
      <w:bodyDiv w:val="1"/>
      <w:marLeft w:val="0"/>
      <w:marRight w:val="0"/>
      <w:marTop w:val="0"/>
      <w:marBottom w:val="0"/>
      <w:divBdr>
        <w:top w:val="none" w:sz="0" w:space="0" w:color="auto"/>
        <w:left w:val="none" w:sz="0" w:space="0" w:color="auto"/>
        <w:bottom w:val="none" w:sz="0" w:space="0" w:color="auto"/>
        <w:right w:val="none" w:sz="0" w:space="0" w:color="auto"/>
      </w:divBdr>
    </w:div>
    <w:div w:id="903641284">
      <w:bodyDiv w:val="1"/>
      <w:marLeft w:val="0"/>
      <w:marRight w:val="0"/>
      <w:marTop w:val="0"/>
      <w:marBottom w:val="0"/>
      <w:divBdr>
        <w:top w:val="none" w:sz="0" w:space="0" w:color="auto"/>
        <w:left w:val="none" w:sz="0" w:space="0" w:color="auto"/>
        <w:bottom w:val="none" w:sz="0" w:space="0" w:color="auto"/>
        <w:right w:val="none" w:sz="0" w:space="0" w:color="auto"/>
      </w:divBdr>
    </w:div>
    <w:div w:id="904071013">
      <w:bodyDiv w:val="1"/>
      <w:marLeft w:val="0"/>
      <w:marRight w:val="0"/>
      <w:marTop w:val="0"/>
      <w:marBottom w:val="0"/>
      <w:divBdr>
        <w:top w:val="none" w:sz="0" w:space="0" w:color="auto"/>
        <w:left w:val="none" w:sz="0" w:space="0" w:color="auto"/>
        <w:bottom w:val="none" w:sz="0" w:space="0" w:color="auto"/>
        <w:right w:val="none" w:sz="0" w:space="0" w:color="auto"/>
      </w:divBdr>
    </w:div>
    <w:div w:id="932857730">
      <w:bodyDiv w:val="1"/>
      <w:marLeft w:val="0"/>
      <w:marRight w:val="0"/>
      <w:marTop w:val="0"/>
      <w:marBottom w:val="0"/>
      <w:divBdr>
        <w:top w:val="none" w:sz="0" w:space="0" w:color="auto"/>
        <w:left w:val="none" w:sz="0" w:space="0" w:color="auto"/>
        <w:bottom w:val="none" w:sz="0" w:space="0" w:color="auto"/>
        <w:right w:val="none" w:sz="0" w:space="0" w:color="auto"/>
      </w:divBdr>
    </w:div>
    <w:div w:id="963920906">
      <w:bodyDiv w:val="1"/>
      <w:marLeft w:val="0"/>
      <w:marRight w:val="0"/>
      <w:marTop w:val="0"/>
      <w:marBottom w:val="0"/>
      <w:divBdr>
        <w:top w:val="none" w:sz="0" w:space="0" w:color="auto"/>
        <w:left w:val="none" w:sz="0" w:space="0" w:color="auto"/>
        <w:bottom w:val="none" w:sz="0" w:space="0" w:color="auto"/>
        <w:right w:val="none" w:sz="0" w:space="0" w:color="auto"/>
      </w:divBdr>
    </w:div>
    <w:div w:id="976767068">
      <w:bodyDiv w:val="1"/>
      <w:marLeft w:val="0"/>
      <w:marRight w:val="0"/>
      <w:marTop w:val="0"/>
      <w:marBottom w:val="0"/>
      <w:divBdr>
        <w:top w:val="none" w:sz="0" w:space="0" w:color="auto"/>
        <w:left w:val="none" w:sz="0" w:space="0" w:color="auto"/>
        <w:bottom w:val="none" w:sz="0" w:space="0" w:color="auto"/>
        <w:right w:val="none" w:sz="0" w:space="0" w:color="auto"/>
      </w:divBdr>
    </w:div>
    <w:div w:id="1022131276">
      <w:bodyDiv w:val="1"/>
      <w:marLeft w:val="0"/>
      <w:marRight w:val="0"/>
      <w:marTop w:val="0"/>
      <w:marBottom w:val="0"/>
      <w:divBdr>
        <w:top w:val="none" w:sz="0" w:space="0" w:color="auto"/>
        <w:left w:val="none" w:sz="0" w:space="0" w:color="auto"/>
        <w:bottom w:val="none" w:sz="0" w:space="0" w:color="auto"/>
        <w:right w:val="none" w:sz="0" w:space="0" w:color="auto"/>
      </w:divBdr>
    </w:div>
    <w:div w:id="1068114335">
      <w:bodyDiv w:val="1"/>
      <w:marLeft w:val="0"/>
      <w:marRight w:val="0"/>
      <w:marTop w:val="0"/>
      <w:marBottom w:val="0"/>
      <w:divBdr>
        <w:top w:val="none" w:sz="0" w:space="0" w:color="auto"/>
        <w:left w:val="none" w:sz="0" w:space="0" w:color="auto"/>
        <w:bottom w:val="none" w:sz="0" w:space="0" w:color="auto"/>
        <w:right w:val="none" w:sz="0" w:space="0" w:color="auto"/>
      </w:divBdr>
    </w:div>
    <w:div w:id="1140458139">
      <w:bodyDiv w:val="1"/>
      <w:marLeft w:val="0"/>
      <w:marRight w:val="0"/>
      <w:marTop w:val="0"/>
      <w:marBottom w:val="0"/>
      <w:divBdr>
        <w:top w:val="none" w:sz="0" w:space="0" w:color="auto"/>
        <w:left w:val="none" w:sz="0" w:space="0" w:color="auto"/>
        <w:bottom w:val="none" w:sz="0" w:space="0" w:color="auto"/>
        <w:right w:val="none" w:sz="0" w:space="0" w:color="auto"/>
      </w:divBdr>
    </w:div>
    <w:div w:id="1158575320">
      <w:bodyDiv w:val="1"/>
      <w:marLeft w:val="0"/>
      <w:marRight w:val="0"/>
      <w:marTop w:val="0"/>
      <w:marBottom w:val="0"/>
      <w:divBdr>
        <w:top w:val="none" w:sz="0" w:space="0" w:color="auto"/>
        <w:left w:val="none" w:sz="0" w:space="0" w:color="auto"/>
        <w:bottom w:val="none" w:sz="0" w:space="0" w:color="auto"/>
        <w:right w:val="none" w:sz="0" w:space="0" w:color="auto"/>
      </w:divBdr>
    </w:div>
    <w:div w:id="1206529789">
      <w:bodyDiv w:val="1"/>
      <w:marLeft w:val="0"/>
      <w:marRight w:val="0"/>
      <w:marTop w:val="0"/>
      <w:marBottom w:val="0"/>
      <w:divBdr>
        <w:top w:val="none" w:sz="0" w:space="0" w:color="auto"/>
        <w:left w:val="none" w:sz="0" w:space="0" w:color="auto"/>
        <w:bottom w:val="none" w:sz="0" w:space="0" w:color="auto"/>
        <w:right w:val="none" w:sz="0" w:space="0" w:color="auto"/>
      </w:divBdr>
    </w:div>
    <w:div w:id="1234579891">
      <w:bodyDiv w:val="1"/>
      <w:marLeft w:val="0"/>
      <w:marRight w:val="0"/>
      <w:marTop w:val="0"/>
      <w:marBottom w:val="0"/>
      <w:divBdr>
        <w:top w:val="none" w:sz="0" w:space="0" w:color="auto"/>
        <w:left w:val="none" w:sz="0" w:space="0" w:color="auto"/>
        <w:bottom w:val="none" w:sz="0" w:space="0" w:color="auto"/>
        <w:right w:val="none" w:sz="0" w:space="0" w:color="auto"/>
      </w:divBdr>
    </w:div>
    <w:div w:id="1240675259">
      <w:bodyDiv w:val="1"/>
      <w:marLeft w:val="0"/>
      <w:marRight w:val="0"/>
      <w:marTop w:val="0"/>
      <w:marBottom w:val="0"/>
      <w:divBdr>
        <w:top w:val="none" w:sz="0" w:space="0" w:color="auto"/>
        <w:left w:val="none" w:sz="0" w:space="0" w:color="auto"/>
        <w:bottom w:val="none" w:sz="0" w:space="0" w:color="auto"/>
        <w:right w:val="none" w:sz="0" w:space="0" w:color="auto"/>
      </w:divBdr>
      <w:divsChild>
        <w:div w:id="440958278">
          <w:marLeft w:val="0"/>
          <w:marRight w:val="0"/>
          <w:marTop w:val="0"/>
          <w:marBottom w:val="0"/>
          <w:divBdr>
            <w:top w:val="none" w:sz="0" w:space="0" w:color="auto"/>
            <w:left w:val="none" w:sz="0" w:space="0" w:color="auto"/>
            <w:bottom w:val="none" w:sz="0" w:space="0" w:color="auto"/>
            <w:right w:val="none" w:sz="0" w:space="0" w:color="auto"/>
          </w:divBdr>
        </w:div>
        <w:div w:id="428933369">
          <w:marLeft w:val="0"/>
          <w:marRight w:val="0"/>
          <w:marTop w:val="0"/>
          <w:marBottom w:val="0"/>
          <w:divBdr>
            <w:top w:val="none" w:sz="0" w:space="0" w:color="auto"/>
            <w:left w:val="none" w:sz="0" w:space="0" w:color="auto"/>
            <w:bottom w:val="none" w:sz="0" w:space="0" w:color="auto"/>
            <w:right w:val="none" w:sz="0" w:space="0" w:color="auto"/>
          </w:divBdr>
        </w:div>
      </w:divsChild>
    </w:div>
    <w:div w:id="1252078933">
      <w:bodyDiv w:val="1"/>
      <w:marLeft w:val="0"/>
      <w:marRight w:val="0"/>
      <w:marTop w:val="0"/>
      <w:marBottom w:val="0"/>
      <w:divBdr>
        <w:top w:val="none" w:sz="0" w:space="0" w:color="auto"/>
        <w:left w:val="none" w:sz="0" w:space="0" w:color="auto"/>
        <w:bottom w:val="none" w:sz="0" w:space="0" w:color="auto"/>
        <w:right w:val="none" w:sz="0" w:space="0" w:color="auto"/>
      </w:divBdr>
    </w:div>
    <w:div w:id="1267271141">
      <w:bodyDiv w:val="1"/>
      <w:marLeft w:val="0"/>
      <w:marRight w:val="0"/>
      <w:marTop w:val="0"/>
      <w:marBottom w:val="0"/>
      <w:divBdr>
        <w:top w:val="none" w:sz="0" w:space="0" w:color="auto"/>
        <w:left w:val="none" w:sz="0" w:space="0" w:color="auto"/>
        <w:bottom w:val="none" w:sz="0" w:space="0" w:color="auto"/>
        <w:right w:val="none" w:sz="0" w:space="0" w:color="auto"/>
      </w:divBdr>
    </w:div>
    <w:div w:id="1351293182">
      <w:bodyDiv w:val="1"/>
      <w:marLeft w:val="0"/>
      <w:marRight w:val="0"/>
      <w:marTop w:val="0"/>
      <w:marBottom w:val="0"/>
      <w:divBdr>
        <w:top w:val="none" w:sz="0" w:space="0" w:color="auto"/>
        <w:left w:val="none" w:sz="0" w:space="0" w:color="auto"/>
        <w:bottom w:val="none" w:sz="0" w:space="0" w:color="auto"/>
        <w:right w:val="none" w:sz="0" w:space="0" w:color="auto"/>
      </w:divBdr>
    </w:div>
    <w:div w:id="1397359966">
      <w:bodyDiv w:val="1"/>
      <w:marLeft w:val="0"/>
      <w:marRight w:val="0"/>
      <w:marTop w:val="0"/>
      <w:marBottom w:val="0"/>
      <w:divBdr>
        <w:top w:val="none" w:sz="0" w:space="0" w:color="auto"/>
        <w:left w:val="none" w:sz="0" w:space="0" w:color="auto"/>
        <w:bottom w:val="none" w:sz="0" w:space="0" w:color="auto"/>
        <w:right w:val="none" w:sz="0" w:space="0" w:color="auto"/>
      </w:divBdr>
    </w:div>
    <w:div w:id="1427536373">
      <w:bodyDiv w:val="1"/>
      <w:marLeft w:val="0"/>
      <w:marRight w:val="0"/>
      <w:marTop w:val="0"/>
      <w:marBottom w:val="0"/>
      <w:divBdr>
        <w:top w:val="none" w:sz="0" w:space="0" w:color="auto"/>
        <w:left w:val="none" w:sz="0" w:space="0" w:color="auto"/>
        <w:bottom w:val="none" w:sz="0" w:space="0" w:color="auto"/>
        <w:right w:val="none" w:sz="0" w:space="0" w:color="auto"/>
      </w:divBdr>
    </w:div>
    <w:div w:id="1440485227">
      <w:bodyDiv w:val="1"/>
      <w:marLeft w:val="0"/>
      <w:marRight w:val="0"/>
      <w:marTop w:val="0"/>
      <w:marBottom w:val="0"/>
      <w:divBdr>
        <w:top w:val="none" w:sz="0" w:space="0" w:color="auto"/>
        <w:left w:val="none" w:sz="0" w:space="0" w:color="auto"/>
        <w:bottom w:val="none" w:sz="0" w:space="0" w:color="auto"/>
        <w:right w:val="none" w:sz="0" w:space="0" w:color="auto"/>
      </w:divBdr>
    </w:div>
    <w:div w:id="1467090427">
      <w:bodyDiv w:val="1"/>
      <w:marLeft w:val="0"/>
      <w:marRight w:val="0"/>
      <w:marTop w:val="0"/>
      <w:marBottom w:val="0"/>
      <w:divBdr>
        <w:top w:val="none" w:sz="0" w:space="0" w:color="auto"/>
        <w:left w:val="none" w:sz="0" w:space="0" w:color="auto"/>
        <w:bottom w:val="none" w:sz="0" w:space="0" w:color="auto"/>
        <w:right w:val="none" w:sz="0" w:space="0" w:color="auto"/>
      </w:divBdr>
    </w:div>
    <w:div w:id="1471826308">
      <w:bodyDiv w:val="1"/>
      <w:marLeft w:val="0"/>
      <w:marRight w:val="0"/>
      <w:marTop w:val="0"/>
      <w:marBottom w:val="0"/>
      <w:divBdr>
        <w:top w:val="none" w:sz="0" w:space="0" w:color="auto"/>
        <w:left w:val="none" w:sz="0" w:space="0" w:color="auto"/>
        <w:bottom w:val="none" w:sz="0" w:space="0" w:color="auto"/>
        <w:right w:val="none" w:sz="0" w:space="0" w:color="auto"/>
      </w:divBdr>
    </w:div>
    <w:div w:id="1483960380">
      <w:bodyDiv w:val="1"/>
      <w:marLeft w:val="0"/>
      <w:marRight w:val="0"/>
      <w:marTop w:val="0"/>
      <w:marBottom w:val="0"/>
      <w:divBdr>
        <w:top w:val="none" w:sz="0" w:space="0" w:color="auto"/>
        <w:left w:val="none" w:sz="0" w:space="0" w:color="auto"/>
        <w:bottom w:val="none" w:sz="0" w:space="0" w:color="auto"/>
        <w:right w:val="none" w:sz="0" w:space="0" w:color="auto"/>
      </w:divBdr>
    </w:div>
    <w:div w:id="1573613357">
      <w:bodyDiv w:val="1"/>
      <w:marLeft w:val="0"/>
      <w:marRight w:val="0"/>
      <w:marTop w:val="0"/>
      <w:marBottom w:val="0"/>
      <w:divBdr>
        <w:top w:val="none" w:sz="0" w:space="0" w:color="auto"/>
        <w:left w:val="none" w:sz="0" w:space="0" w:color="auto"/>
        <w:bottom w:val="none" w:sz="0" w:space="0" w:color="auto"/>
        <w:right w:val="none" w:sz="0" w:space="0" w:color="auto"/>
      </w:divBdr>
    </w:div>
    <w:div w:id="1641381471">
      <w:bodyDiv w:val="1"/>
      <w:marLeft w:val="0"/>
      <w:marRight w:val="0"/>
      <w:marTop w:val="0"/>
      <w:marBottom w:val="0"/>
      <w:divBdr>
        <w:top w:val="none" w:sz="0" w:space="0" w:color="auto"/>
        <w:left w:val="none" w:sz="0" w:space="0" w:color="auto"/>
        <w:bottom w:val="none" w:sz="0" w:space="0" w:color="auto"/>
        <w:right w:val="none" w:sz="0" w:space="0" w:color="auto"/>
      </w:divBdr>
    </w:div>
    <w:div w:id="1664701878">
      <w:bodyDiv w:val="1"/>
      <w:marLeft w:val="0"/>
      <w:marRight w:val="0"/>
      <w:marTop w:val="0"/>
      <w:marBottom w:val="0"/>
      <w:divBdr>
        <w:top w:val="none" w:sz="0" w:space="0" w:color="auto"/>
        <w:left w:val="none" w:sz="0" w:space="0" w:color="auto"/>
        <w:bottom w:val="none" w:sz="0" w:space="0" w:color="auto"/>
        <w:right w:val="none" w:sz="0" w:space="0" w:color="auto"/>
      </w:divBdr>
    </w:div>
    <w:div w:id="1668090749">
      <w:bodyDiv w:val="1"/>
      <w:marLeft w:val="0"/>
      <w:marRight w:val="0"/>
      <w:marTop w:val="0"/>
      <w:marBottom w:val="0"/>
      <w:divBdr>
        <w:top w:val="none" w:sz="0" w:space="0" w:color="auto"/>
        <w:left w:val="none" w:sz="0" w:space="0" w:color="auto"/>
        <w:bottom w:val="none" w:sz="0" w:space="0" w:color="auto"/>
        <w:right w:val="none" w:sz="0" w:space="0" w:color="auto"/>
      </w:divBdr>
    </w:div>
    <w:div w:id="1723749443">
      <w:bodyDiv w:val="1"/>
      <w:marLeft w:val="0"/>
      <w:marRight w:val="0"/>
      <w:marTop w:val="0"/>
      <w:marBottom w:val="0"/>
      <w:divBdr>
        <w:top w:val="none" w:sz="0" w:space="0" w:color="auto"/>
        <w:left w:val="none" w:sz="0" w:space="0" w:color="auto"/>
        <w:bottom w:val="none" w:sz="0" w:space="0" w:color="auto"/>
        <w:right w:val="none" w:sz="0" w:space="0" w:color="auto"/>
      </w:divBdr>
    </w:div>
    <w:div w:id="1771701171">
      <w:bodyDiv w:val="1"/>
      <w:marLeft w:val="0"/>
      <w:marRight w:val="0"/>
      <w:marTop w:val="0"/>
      <w:marBottom w:val="0"/>
      <w:divBdr>
        <w:top w:val="none" w:sz="0" w:space="0" w:color="auto"/>
        <w:left w:val="none" w:sz="0" w:space="0" w:color="auto"/>
        <w:bottom w:val="none" w:sz="0" w:space="0" w:color="auto"/>
        <w:right w:val="none" w:sz="0" w:space="0" w:color="auto"/>
      </w:divBdr>
    </w:div>
    <w:div w:id="1782651930">
      <w:bodyDiv w:val="1"/>
      <w:marLeft w:val="0"/>
      <w:marRight w:val="0"/>
      <w:marTop w:val="0"/>
      <w:marBottom w:val="0"/>
      <w:divBdr>
        <w:top w:val="none" w:sz="0" w:space="0" w:color="auto"/>
        <w:left w:val="none" w:sz="0" w:space="0" w:color="auto"/>
        <w:bottom w:val="none" w:sz="0" w:space="0" w:color="auto"/>
        <w:right w:val="none" w:sz="0" w:space="0" w:color="auto"/>
      </w:divBdr>
    </w:div>
    <w:div w:id="1782798361">
      <w:bodyDiv w:val="1"/>
      <w:marLeft w:val="0"/>
      <w:marRight w:val="0"/>
      <w:marTop w:val="0"/>
      <w:marBottom w:val="0"/>
      <w:divBdr>
        <w:top w:val="none" w:sz="0" w:space="0" w:color="auto"/>
        <w:left w:val="none" w:sz="0" w:space="0" w:color="auto"/>
        <w:bottom w:val="none" w:sz="0" w:space="0" w:color="auto"/>
        <w:right w:val="none" w:sz="0" w:space="0" w:color="auto"/>
      </w:divBdr>
    </w:div>
    <w:div w:id="1788156179">
      <w:bodyDiv w:val="1"/>
      <w:marLeft w:val="0"/>
      <w:marRight w:val="0"/>
      <w:marTop w:val="0"/>
      <w:marBottom w:val="0"/>
      <w:divBdr>
        <w:top w:val="none" w:sz="0" w:space="0" w:color="auto"/>
        <w:left w:val="none" w:sz="0" w:space="0" w:color="auto"/>
        <w:bottom w:val="none" w:sz="0" w:space="0" w:color="auto"/>
        <w:right w:val="none" w:sz="0" w:space="0" w:color="auto"/>
      </w:divBdr>
    </w:div>
    <w:div w:id="1825000022">
      <w:bodyDiv w:val="1"/>
      <w:marLeft w:val="0"/>
      <w:marRight w:val="0"/>
      <w:marTop w:val="0"/>
      <w:marBottom w:val="0"/>
      <w:divBdr>
        <w:top w:val="none" w:sz="0" w:space="0" w:color="auto"/>
        <w:left w:val="none" w:sz="0" w:space="0" w:color="auto"/>
        <w:bottom w:val="none" w:sz="0" w:space="0" w:color="auto"/>
        <w:right w:val="none" w:sz="0" w:space="0" w:color="auto"/>
      </w:divBdr>
    </w:div>
    <w:div w:id="1848254148">
      <w:bodyDiv w:val="1"/>
      <w:marLeft w:val="0"/>
      <w:marRight w:val="0"/>
      <w:marTop w:val="0"/>
      <w:marBottom w:val="0"/>
      <w:divBdr>
        <w:top w:val="none" w:sz="0" w:space="0" w:color="auto"/>
        <w:left w:val="none" w:sz="0" w:space="0" w:color="auto"/>
        <w:bottom w:val="none" w:sz="0" w:space="0" w:color="auto"/>
        <w:right w:val="none" w:sz="0" w:space="0" w:color="auto"/>
      </w:divBdr>
    </w:div>
    <w:div w:id="1863081569">
      <w:bodyDiv w:val="1"/>
      <w:marLeft w:val="0"/>
      <w:marRight w:val="0"/>
      <w:marTop w:val="0"/>
      <w:marBottom w:val="0"/>
      <w:divBdr>
        <w:top w:val="none" w:sz="0" w:space="0" w:color="auto"/>
        <w:left w:val="none" w:sz="0" w:space="0" w:color="auto"/>
        <w:bottom w:val="none" w:sz="0" w:space="0" w:color="auto"/>
        <w:right w:val="none" w:sz="0" w:space="0" w:color="auto"/>
      </w:divBdr>
    </w:div>
    <w:div w:id="1893424740">
      <w:bodyDiv w:val="1"/>
      <w:marLeft w:val="0"/>
      <w:marRight w:val="0"/>
      <w:marTop w:val="0"/>
      <w:marBottom w:val="0"/>
      <w:divBdr>
        <w:top w:val="none" w:sz="0" w:space="0" w:color="auto"/>
        <w:left w:val="none" w:sz="0" w:space="0" w:color="auto"/>
        <w:bottom w:val="none" w:sz="0" w:space="0" w:color="auto"/>
        <w:right w:val="none" w:sz="0" w:space="0" w:color="auto"/>
      </w:divBdr>
    </w:div>
    <w:div w:id="1931424420">
      <w:bodyDiv w:val="1"/>
      <w:marLeft w:val="0"/>
      <w:marRight w:val="0"/>
      <w:marTop w:val="0"/>
      <w:marBottom w:val="0"/>
      <w:divBdr>
        <w:top w:val="none" w:sz="0" w:space="0" w:color="auto"/>
        <w:left w:val="none" w:sz="0" w:space="0" w:color="auto"/>
        <w:bottom w:val="none" w:sz="0" w:space="0" w:color="auto"/>
        <w:right w:val="none" w:sz="0" w:space="0" w:color="auto"/>
      </w:divBdr>
    </w:div>
    <w:div w:id="1936204727">
      <w:bodyDiv w:val="1"/>
      <w:marLeft w:val="0"/>
      <w:marRight w:val="0"/>
      <w:marTop w:val="0"/>
      <w:marBottom w:val="0"/>
      <w:divBdr>
        <w:top w:val="none" w:sz="0" w:space="0" w:color="auto"/>
        <w:left w:val="none" w:sz="0" w:space="0" w:color="auto"/>
        <w:bottom w:val="none" w:sz="0" w:space="0" w:color="auto"/>
        <w:right w:val="none" w:sz="0" w:space="0" w:color="auto"/>
      </w:divBdr>
    </w:div>
    <w:div w:id="1949509885">
      <w:bodyDiv w:val="1"/>
      <w:marLeft w:val="0"/>
      <w:marRight w:val="0"/>
      <w:marTop w:val="0"/>
      <w:marBottom w:val="0"/>
      <w:divBdr>
        <w:top w:val="none" w:sz="0" w:space="0" w:color="auto"/>
        <w:left w:val="none" w:sz="0" w:space="0" w:color="auto"/>
        <w:bottom w:val="none" w:sz="0" w:space="0" w:color="auto"/>
        <w:right w:val="none" w:sz="0" w:space="0" w:color="auto"/>
      </w:divBdr>
    </w:div>
    <w:div w:id="2001343034">
      <w:bodyDiv w:val="1"/>
      <w:marLeft w:val="0"/>
      <w:marRight w:val="0"/>
      <w:marTop w:val="0"/>
      <w:marBottom w:val="0"/>
      <w:divBdr>
        <w:top w:val="none" w:sz="0" w:space="0" w:color="auto"/>
        <w:left w:val="none" w:sz="0" w:space="0" w:color="auto"/>
        <w:bottom w:val="none" w:sz="0" w:space="0" w:color="auto"/>
        <w:right w:val="none" w:sz="0" w:space="0" w:color="auto"/>
      </w:divBdr>
    </w:div>
    <w:div w:id="2035811055">
      <w:bodyDiv w:val="1"/>
      <w:marLeft w:val="0"/>
      <w:marRight w:val="0"/>
      <w:marTop w:val="0"/>
      <w:marBottom w:val="0"/>
      <w:divBdr>
        <w:top w:val="none" w:sz="0" w:space="0" w:color="auto"/>
        <w:left w:val="none" w:sz="0" w:space="0" w:color="auto"/>
        <w:bottom w:val="none" w:sz="0" w:space="0" w:color="auto"/>
        <w:right w:val="none" w:sz="0" w:space="0" w:color="auto"/>
      </w:divBdr>
    </w:div>
    <w:div w:id="207003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ticle19.org/wp-content/uploads/2020/04/Rule-of-Law-Joint-Recommendations-April-2020-1.pdf" TargetMode="External"/><Relationship Id="rId13" Type="http://schemas.openxmlformats.org/officeDocument/2006/relationships/hyperlink" Target="http://www.theatlantic.com/international/archive/2019/12/daphne-caruana-galizia-malta/602923/" TargetMode="External"/><Relationship Id="rId18" Type="http://schemas.openxmlformats.org/officeDocument/2006/relationships/hyperlink" Target="https://cmpf.eui.eu/media-pluralism-monitor/mpm-2020/" TargetMode="External"/><Relationship Id="rId26" Type="http://schemas.openxmlformats.org/officeDocument/2006/relationships/hyperlink" Target="https://www.europarl.europa.eu/doceo/document/P-9-2019-004437-ASW_EN.html" TargetMode="External"/><Relationship Id="rId3" Type="http://schemas.openxmlformats.org/officeDocument/2006/relationships/styles" Target="styles.xml"/><Relationship Id="rId21" Type="http://schemas.openxmlformats.org/officeDocument/2006/relationships/hyperlink" Target="https://ec.europa.eu/digital-single-market/en/high-level-group-media-freedom-and-pluralism" TargetMode="External"/><Relationship Id="rId7" Type="http://schemas.openxmlformats.org/officeDocument/2006/relationships/endnotes" Target="endnotes.xml"/><Relationship Id="rId12" Type="http://schemas.openxmlformats.org/officeDocument/2006/relationships/hyperlink" Target="http://www.bbc.co.uk/news/uk-24894403" TargetMode="External"/><Relationship Id="rId17" Type="http://schemas.openxmlformats.org/officeDocument/2006/relationships/hyperlink" Target="http://www.theguardian.com/technology/2019/dec/06/premier-league-brings-record-number-of-sign-ups-to-amazon-prime" TargetMode="External"/><Relationship Id="rId25" Type="http://schemas.openxmlformats.org/officeDocument/2006/relationships/hyperlink" Target="https://www.europarl.europa.eu/factsheets/en/sheet/149/european-citizens-initiative" TargetMode="External"/><Relationship Id="rId2" Type="http://schemas.openxmlformats.org/officeDocument/2006/relationships/numbering" Target="numbering.xml"/><Relationship Id="rId16" Type="http://schemas.openxmlformats.org/officeDocument/2006/relationships/hyperlink" Target="http://www.nytimes.com/2020/02/28/world/europe/jan-kuciak-marian-kocner-trial.html" TargetMode="External"/><Relationship Id="rId20" Type="http://schemas.openxmlformats.org/officeDocument/2006/relationships/hyperlink" Target="https://ec.europa.eu/digital-single-market/avmsd-list-major-even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gi-network.org/2019/Democracy/Quality_of_Democracy/Access_to_Information" TargetMode="External"/><Relationship Id="rId24" Type="http://schemas.openxmlformats.org/officeDocument/2006/relationships/hyperlink" Target="https://ec.europa.eu/digital-single-market/en/media-pluralism-monitor-mpm" TargetMode="External"/><Relationship Id="rId5" Type="http://schemas.openxmlformats.org/officeDocument/2006/relationships/webSettings" Target="webSettings.xml"/><Relationship Id="rId15" Type="http://schemas.openxmlformats.org/officeDocument/2006/relationships/hyperlink" Target="https://rsf.org/en/taxonomy/term/145" TargetMode="External"/><Relationship Id="rId23" Type="http://schemas.openxmlformats.org/officeDocument/2006/relationships/hyperlink" Target="https://ec.europa.eu/digital-single-market/en/policies/media-freedom-and-pluralism" TargetMode="External"/><Relationship Id="rId28" Type="http://schemas.openxmlformats.org/officeDocument/2006/relationships/footer" Target="footer1.xml"/><Relationship Id="rId10" Type="http://schemas.openxmlformats.org/officeDocument/2006/relationships/hyperlink" Target="https://mediainitiative.eu/our-mission/" TargetMode="External"/><Relationship Id="rId19" Type="http://schemas.openxmlformats.org/officeDocument/2006/relationships/hyperlink" Target="http://www.economist.com/europe/2016/01/14/on-the-naughty-step" TargetMode="External"/><Relationship Id="rId4" Type="http://schemas.openxmlformats.org/officeDocument/2006/relationships/settings" Target="settings.xml"/><Relationship Id="rId9" Type="http://schemas.openxmlformats.org/officeDocument/2006/relationships/hyperlink" Target="https://cmpf.eui.eu/" TargetMode="External"/><Relationship Id="rId14" Type="http://schemas.openxmlformats.org/officeDocument/2006/relationships/hyperlink" Target="http://www.mom-rsf.org/en/countries/turkey/" TargetMode="External"/><Relationship Id="rId22" Type="http://schemas.openxmlformats.org/officeDocument/2006/relationships/hyperlink" Target="https://ec.europa.eu/info/policies/justice-and-fundamental-rights/upholding-rule-law/rule-law/initiative-strengthen-rule-law-eu_en" TargetMode="External"/><Relationship Id="rId27" Type="http://schemas.openxmlformats.org/officeDocument/2006/relationships/hyperlink" Target="https://europa.eu/citizens-initiative/initiatives/details/2013/000007_en"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digital-single-market/avmsd-list-major-events" TargetMode="External"/><Relationship Id="rId13" Type="http://schemas.openxmlformats.org/officeDocument/2006/relationships/hyperlink" Target="https://www.europarl.europa.eu/factsheets/en/sheet/149/european-citizens-initiative" TargetMode="External"/><Relationship Id="rId18" Type="http://schemas.openxmlformats.org/officeDocument/2006/relationships/hyperlink" Target="https://ec.europa.eu/info/policies/justice-and-fundamental-rights/upholding-rule-law/rule-law/initiative-strengthen-rule-law-eu_en" TargetMode="External"/><Relationship Id="rId3" Type="http://schemas.openxmlformats.org/officeDocument/2006/relationships/hyperlink" Target="http://www.bbc.co.uk/news/uk-24894403" TargetMode="External"/><Relationship Id="rId7" Type="http://schemas.openxmlformats.org/officeDocument/2006/relationships/hyperlink" Target="https://www.sgi-network.org/2019/Democracy/Quality_of_Democracy/Access_to_Information" TargetMode="External"/><Relationship Id="rId12" Type="http://schemas.openxmlformats.org/officeDocument/2006/relationships/hyperlink" Target="http://www.mom-rsf.org/en/countries/turkey/" TargetMode="External"/><Relationship Id="rId17" Type="http://schemas.openxmlformats.org/officeDocument/2006/relationships/hyperlink" Target="http://www.nytimes.com/2020/02/28/world/europe/jan-kuciak-marian-kocner-trial.html" TargetMode="External"/><Relationship Id="rId2" Type="http://schemas.openxmlformats.org/officeDocument/2006/relationships/hyperlink" Target="http://www.economist.com/europe/2016/01/14/on-the-naughty-step" TargetMode="External"/><Relationship Id="rId16" Type="http://schemas.openxmlformats.org/officeDocument/2006/relationships/hyperlink" Target="http://www.theatlantic.com/international/archive/2019/12/daphne-caruana-galizia-malta/602923/" TargetMode="External"/><Relationship Id="rId20" Type="http://schemas.openxmlformats.org/officeDocument/2006/relationships/hyperlink" Target="https://www.article19.org/wp-content/uploads/2020/04/Rule-of-Law-Joint-Recommendations-April-2020-1.pdf" TargetMode="External"/><Relationship Id="rId1" Type="http://schemas.openxmlformats.org/officeDocument/2006/relationships/hyperlink" Target="https://ec.europa.eu/digital-single-market/en/policies/media-freedom-and-pluralism" TargetMode="External"/><Relationship Id="rId6" Type="http://schemas.openxmlformats.org/officeDocument/2006/relationships/hyperlink" Target="http://www.theguardian.com/technology/2019/dec/06/premier-league-brings-record-number-of-sign-ups-to-amazon-prime" TargetMode="External"/><Relationship Id="rId11" Type="http://schemas.openxmlformats.org/officeDocument/2006/relationships/hyperlink" Target="https://rsf.org/en/taxonomy/term/145" TargetMode="External"/><Relationship Id="rId5" Type="http://schemas.openxmlformats.org/officeDocument/2006/relationships/hyperlink" Target="https://cmpf.eui.eu/" TargetMode="External"/><Relationship Id="rId15" Type="http://schemas.openxmlformats.org/officeDocument/2006/relationships/hyperlink" Target="https://mediainitiative.eu/our-mission/" TargetMode="External"/><Relationship Id="rId10" Type="http://schemas.openxmlformats.org/officeDocument/2006/relationships/hyperlink" Target="https://cmpf.eui.eu/media-pluralism-monitor/mpm-2020/" TargetMode="External"/><Relationship Id="rId19" Type="http://schemas.openxmlformats.org/officeDocument/2006/relationships/hyperlink" Target="https://www.europarl.europa.eu/doceo/document/P-9-2019-004437-ASW_EN.html" TargetMode="External"/><Relationship Id="rId4" Type="http://schemas.openxmlformats.org/officeDocument/2006/relationships/hyperlink" Target="https://ec.europa.eu/digital-single-market/en/high-level-group-media-freedom-and-pluralism" TargetMode="External"/><Relationship Id="rId9" Type="http://schemas.openxmlformats.org/officeDocument/2006/relationships/hyperlink" Target="https://ec.europa.eu/digital-single-market/en/media-pluralism-monitor-mpm" TargetMode="External"/><Relationship Id="rId14" Type="http://schemas.openxmlformats.org/officeDocument/2006/relationships/hyperlink" Target="https://europa.eu/citizens-initiative/initiatives/details/2013/000007_en" TargetMode="External"/></Relationships>
</file>

<file path=word/theme/theme1.xml><?xml version="1.0" encoding="utf-8"?>
<a:theme xmlns:a="http://schemas.openxmlformats.org/drawingml/2006/main" name="Office Teması">
  <a:themeElements>
    <a:clrScheme name="Ofis">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C853E-4F17-43D7-99CB-2852B60EB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5842</Words>
  <Characters>33301</Characters>
  <Application>Microsoft Office Word</Application>
  <DocSecurity>0</DocSecurity>
  <Lines>277</Lines>
  <Paragraphs>78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barış sayar</dc:creator>
  <cp:keywords/>
  <dc:description/>
  <cp:lastModifiedBy>Jill Caulfield</cp:lastModifiedBy>
  <cp:revision>2</cp:revision>
  <dcterms:created xsi:type="dcterms:W3CDTF">2020-08-20T08:43:00Z</dcterms:created>
  <dcterms:modified xsi:type="dcterms:W3CDTF">2020-08-20T08:43:00Z</dcterms:modified>
</cp:coreProperties>
</file>