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A11F1" w14:textId="77777777" w:rsidR="005F287A" w:rsidRPr="005F287A" w:rsidRDefault="005F287A" w:rsidP="00BA7873">
      <w:pPr>
        <w:jc w:val="center"/>
        <w:rPr>
          <w:sz w:val="24"/>
          <w:szCs w:val="24"/>
          <w:u w:val="single"/>
        </w:rPr>
      </w:pPr>
    </w:p>
    <w:p w14:paraId="00594275" w14:textId="77777777" w:rsidR="005F287A" w:rsidRPr="005F287A" w:rsidRDefault="005F287A" w:rsidP="005F287A">
      <w:pPr>
        <w:spacing w:before="120" w:after="120" w:line="360" w:lineRule="auto"/>
        <w:jc w:val="both"/>
        <w:rPr>
          <w:rFonts w:cstheme="minorHAnsi"/>
          <w:sz w:val="24"/>
          <w:szCs w:val="24"/>
        </w:rPr>
      </w:pPr>
      <w:r w:rsidRPr="005F287A">
        <w:rPr>
          <w:rFonts w:cstheme="minorHAnsi"/>
          <w:sz w:val="24"/>
          <w:szCs w:val="24"/>
        </w:rPr>
        <w:t>In partnership with the Trinity College School of Law, the BAI is publishing an essay on the topic of EU media regulation prepared by the top student taking the module EU Digital Single Market: Media regulation as part of the postgraduate LL.M programme in Trinity College. This initiative is designed to promote public debate about media policy and practice. The 2022 winning essay focuses on the AVMS Directive in the age of VSPs and online content creation.</w:t>
      </w:r>
      <w:r w:rsidRPr="005F287A">
        <w:rPr>
          <w:rFonts w:cstheme="minorHAnsi"/>
          <w:i/>
          <w:sz w:val="24"/>
          <w:szCs w:val="24"/>
        </w:rPr>
        <w:t xml:space="preserve"> </w:t>
      </w:r>
      <w:r w:rsidRPr="005F287A">
        <w:rPr>
          <w:rFonts w:cstheme="minorHAnsi"/>
          <w:sz w:val="24"/>
          <w:szCs w:val="24"/>
        </w:rPr>
        <w:t>It was written by Daniel Mooney and is edited by Dr Ewa Komorek assistant professor, Trinity College.</w:t>
      </w:r>
    </w:p>
    <w:p w14:paraId="67F468C8" w14:textId="77777777" w:rsidR="005F287A" w:rsidRDefault="005F287A" w:rsidP="00BA7873">
      <w:pPr>
        <w:jc w:val="center"/>
        <w:rPr>
          <w:sz w:val="24"/>
          <w:szCs w:val="24"/>
          <w:u w:val="single"/>
        </w:rPr>
      </w:pPr>
    </w:p>
    <w:p w14:paraId="7CC42917" w14:textId="77777777" w:rsidR="005F287A" w:rsidRDefault="005F287A" w:rsidP="00BA7873">
      <w:pPr>
        <w:jc w:val="center"/>
        <w:rPr>
          <w:sz w:val="24"/>
          <w:szCs w:val="24"/>
          <w:u w:val="single"/>
        </w:rPr>
      </w:pPr>
    </w:p>
    <w:p w14:paraId="3EC70C7D" w14:textId="77777777" w:rsidR="005F287A" w:rsidRDefault="005F287A" w:rsidP="00BA7873">
      <w:pPr>
        <w:jc w:val="center"/>
        <w:rPr>
          <w:sz w:val="24"/>
          <w:szCs w:val="24"/>
          <w:u w:val="single"/>
        </w:rPr>
      </w:pPr>
    </w:p>
    <w:p w14:paraId="58369165" w14:textId="77777777" w:rsidR="005F287A" w:rsidRDefault="005F287A" w:rsidP="00BA7873">
      <w:pPr>
        <w:jc w:val="center"/>
        <w:rPr>
          <w:sz w:val="24"/>
          <w:szCs w:val="24"/>
          <w:u w:val="single"/>
        </w:rPr>
      </w:pPr>
    </w:p>
    <w:p w14:paraId="57EBC8D1" w14:textId="77777777" w:rsidR="005F287A" w:rsidRDefault="005F287A" w:rsidP="00BA7873">
      <w:pPr>
        <w:jc w:val="center"/>
        <w:rPr>
          <w:sz w:val="24"/>
          <w:szCs w:val="24"/>
          <w:u w:val="single"/>
        </w:rPr>
      </w:pPr>
    </w:p>
    <w:p w14:paraId="5D2BC32E" w14:textId="77777777" w:rsidR="005F287A" w:rsidRDefault="005F287A" w:rsidP="00BA7873">
      <w:pPr>
        <w:jc w:val="center"/>
        <w:rPr>
          <w:sz w:val="24"/>
          <w:szCs w:val="24"/>
          <w:u w:val="single"/>
        </w:rPr>
      </w:pPr>
    </w:p>
    <w:p w14:paraId="576F9EDF" w14:textId="77777777" w:rsidR="005F287A" w:rsidRDefault="005F287A" w:rsidP="00BA7873">
      <w:pPr>
        <w:jc w:val="center"/>
        <w:rPr>
          <w:sz w:val="24"/>
          <w:szCs w:val="24"/>
          <w:u w:val="single"/>
        </w:rPr>
      </w:pPr>
    </w:p>
    <w:p w14:paraId="490CC27D" w14:textId="77777777" w:rsidR="005F287A" w:rsidRDefault="005F287A" w:rsidP="00BA7873">
      <w:pPr>
        <w:jc w:val="center"/>
        <w:rPr>
          <w:sz w:val="24"/>
          <w:szCs w:val="24"/>
          <w:u w:val="single"/>
        </w:rPr>
      </w:pPr>
    </w:p>
    <w:p w14:paraId="29EBDBEC" w14:textId="77777777" w:rsidR="005F287A" w:rsidRDefault="005F287A" w:rsidP="00BA7873">
      <w:pPr>
        <w:jc w:val="center"/>
        <w:rPr>
          <w:sz w:val="24"/>
          <w:szCs w:val="24"/>
          <w:u w:val="single"/>
        </w:rPr>
      </w:pPr>
    </w:p>
    <w:p w14:paraId="139D87DA" w14:textId="77777777" w:rsidR="005F287A" w:rsidRDefault="005F287A" w:rsidP="00BA7873">
      <w:pPr>
        <w:jc w:val="center"/>
        <w:rPr>
          <w:sz w:val="24"/>
          <w:szCs w:val="24"/>
          <w:u w:val="single"/>
        </w:rPr>
      </w:pPr>
    </w:p>
    <w:p w14:paraId="26931342" w14:textId="0BB193A7" w:rsidR="005F287A" w:rsidRDefault="005F287A" w:rsidP="00BA7873">
      <w:pPr>
        <w:jc w:val="center"/>
        <w:rPr>
          <w:sz w:val="24"/>
          <w:szCs w:val="24"/>
          <w:u w:val="single"/>
        </w:rPr>
      </w:pPr>
    </w:p>
    <w:p w14:paraId="367A2CFC" w14:textId="081C85AF" w:rsidR="005F287A" w:rsidRDefault="005F287A" w:rsidP="00BA7873">
      <w:pPr>
        <w:jc w:val="center"/>
        <w:rPr>
          <w:sz w:val="24"/>
          <w:szCs w:val="24"/>
          <w:u w:val="single"/>
        </w:rPr>
      </w:pPr>
    </w:p>
    <w:p w14:paraId="49413EA6" w14:textId="670D495C" w:rsidR="005F287A" w:rsidRDefault="005F287A" w:rsidP="00BA7873">
      <w:pPr>
        <w:jc w:val="center"/>
        <w:rPr>
          <w:sz w:val="24"/>
          <w:szCs w:val="24"/>
          <w:u w:val="single"/>
        </w:rPr>
      </w:pPr>
    </w:p>
    <w:p w14:paraId="03C42D36" w14:textId="18071B7B" w:rsidR="005F287A" w:rsidRDefault="005F287A" w:rsidP="00BA7873">
      <w:pPr>
        <w:jc w:val="center"/>
        <w:rPr>
          <w:sz w:val="24"/>
          <w:szCs w:val="24"/>
          <w:u w:val="single"/>
        </w:rPr>
      </w:pPr>
    </w:p>
    <w:p w14:paraId="63B5ED43" w14:textId="555C0A4A" w:rsidR="005F287A" w:rsidRDefault="005F287A" w:rsidP="00BA7873">
      <w:pPr>
        <w:jc w:val="center"/>
        <w:rPr>
          <w:sz w:val="24"/>
          <w:szCs w:val="24"/>
          <w:u w:val="single"/>
        </w:rPr>
      </w:pPr>
    </w:p>
    <w:p w14:paraId="4703A8C0" w14:textId="726DAEDB" w:rsidR="005F287A" w:rsidRDefault="005F287A" w:rsidP="00BA7873">
      <w:pPr>
        <w:jc w:val="center"/>
        <w:rPr>
          <w:sz w:val="24"/>
          <w:szCs w:val="24"/>
          <w:u w:val="single"/>
        </w:rPr>
      </w:pPr>
    </w:p>
    <w:p w14:paraId="74D9F0FB" w14:textId="67FEBCE6" w:rsidR="005F287A" w:rsidRDefault="005F287A" w:rsidP="00BA7873">
      <w:pPr>
        <w:jc w:val="center"/>
        <w:rPr>
          <w:sz w:val="24"/>
          <w:szCs w:val="24"/>
          <w:u w:val="single"/>
        </w:rPr>
      </w:pPr>
    </w:p>
    <w:p w14:paraId="32A1BD2A" w14:textId="01E2C688" w:rsidR="005F287A" w:rsidRDefault="005F287A" w:rsidP="00BA7873">
      <w:pPr>
        <w:jc w:val="center"/>
        <w:rPr>
          <w:sz w:val="24"/>
          <w:szCs w:val="24"/>
          <w:u w:val="single"/>
        </w:rPr>
      </w:pPr>
    </w:p>
    <w:p w14:paraId="73E713D0" w14:textId="02F00C8D" w:rsidR="005F287A" w:rsidRDefault="005F287A" w:rsidP="00BA7873">
      <w:pPr>
        <w:jc w:val="center"/>
        <w:rPr>
          <w:sz w:val="24"/>
          <w:szCs w:val="24"/>
          <w:u w:val="single"/>
        </w:rPr>
      </w:pPr>
    </w:p>
    <w:p w14:paraId="4E1E3CB0" w14:textId="790B0002" w:rsidR="005F287A" w:rsidRDefault="005F287A" w:rsidP="00BA7873">
      <w:pPr>
        <w:jc w:val="center"/>
        <w:rPr>
          <w:sz w:val="24"/>
          <w:szCs w:val="24"/>
          <w:u w:val="single"/>
        </w:rPr>
      </w:pPr>
    </w:p>
    <w:p w14:paraId="360C35ED" w14:textId="0D7D9FD7" w:rsidR="005F287A" w:rsidRDefault="005F287A" w:rsidP="00BA7873">
      <w:pPr>
        <w:jc w:val="center"/>
        <w:rPr>
          <w:sz w:val="24"/>
          <w:szCs w:val="24"/>
          <w:u w:val="single"/>
        </w:rPr>
      </w:pPr>
    </w:p>
    <w:p w14:paraId="2769AD4F" w14:textId="1C2A7E00" w:rsidR="005F287A" w:rsidRDefault="005F287A" w:rsidP="00BA7873">
      <w:pPr>
        <w:jc w:val="center"/>
        <w:rPr>
          <w:sz w:val="24"/>
          <w:szCs w:val="24"/>
          <w:u w:val="single"/>
        </w:rPr>
      </w:pPr>
    </w:p>
    <w:p w14:paraId="253098B9" w14:textId="77777777" w:rsidR="005F287A" w:rsidRDefault="005F287A" w:rsidP="00BA7873">
      <w:pPr>
        <w:jc w:val="center"/>
        <w:rPr>
          <w:sz w:val="24"/>
          <w:szCs w:val="24"/>
          <w:u w:val="single"/>
        </w:rPr>
      </w:pPr>
    </w:p>
    <w:p w14:paraId="774B7C11" w14:textId="77777777" w:rsidR="005F287A" w:rsidRDefault="005F287A" w:rsidP="00BA7873">
      <w:pPr>
        <w:jc w:val="center"/>
        <w:rPr>
          <w:b/>
          <w:bCs/>
          <w:sz w:val="24"/>
          <w:szCs w:val="24"/>
          <w:u w:val="single"/>
        </w:rPr>
      </w:pPr>
    </w:p>
    <w:p w14:paraId="2606623F" w14:textId="77777777" w:rsidR="005F287A" w:rsidRDefault="005F287A" w:rsidP="00BA7873">
      <w:pPr>
        <w:jc w:val="center"/>
        <w:rPr>
          <w:b/>
          <w:bCs/>
          <w:sz w:val="24"/>
          <w:szCs w:val="24"/>
          <w:u w:val="single"/>
        </w:rPr>
      </w:pPr>
    </w:p>
    <w:p w14:paraId="6FB76F75" w14:textId="77777777" w:rsidR="005F287A" w:rsidRDefault="005F287A" w:rsidP="00BA7873">
      <w:pPr>
        <w:jc w:val="center"/>
        <w:rPr>
          <w:b/>
          <w:bCs/>
          <w:sz w:val="24"/>
          <w:szCs w:val="24"/>
          <w:u w:val="single"/>
        </w:rPr>
      </w:pPr>
    </w:p>
    <w:p w14:paraId="6F63435D" w14:textId="77777777" w:rsidR="005F287A" w:rsidRDefault="005F287A" w:rsidP="00BA7873">
      <w:pPr>
        <w:jc w:val="center"/>
        <w:rPr>
          <w:b/>
          <w:bCs/>
          <w:sz w:val="24"/>
          <w:szCs w:val="24"/>
          <w:u w:val="single"/>
        </w:rPr>
      </w:pPr>
    </w:p>
    <w:p w14:paraId="298C5B52" w14:textId="77777777" w:rsidR="005F287A" w:rsidRDefault="005F287A" w:rsidP="00BA7873">
      <w:pPr>
        <w:jc w:val="center"/>
        <w:rPr>
          <w:b/>
          <w:bCs/>
          <w:sz w:val="24"/>
          <w:szCs w:val="24"/>
          <w:u w:val="single"/>
        </w:rPr>
      </w:pPr>
    </w:p>
    <w:p w14:paraId="4E856292" w14:textId="77777777" w:rsidR="005F287A" w:rsidRDefault="005F287A" w:rsidP="00BA7873">
      <w:pPr>
        <w:jc w:val="center"/>
        <w:rPr>
          <w:b/>
          <w:bCs/>
          <w:sz w:val="24"/>
          <w:szCs w:val="24"/>
          <w:u w:val="single"/>
        </w:rPr>
      </w:pPr>
    </w:p>
    <w:p w14:paraId="5BDDF486" w14:textId="77777777" w:rsidR="005F287A" w:rsidRDefault="005F287A" w:rsidP="00BA7873">
      <w:pPr>
        <w:jc w:val="center"/>
        <w:rPr>
          <w:b/>
          <w:bCs/>
          <w:sz w:val="24"/>
          <w:szCs w:val="24"/>
          <w:u w:val="single"/>
        </w:rPr>
      </w:pPr>
    </w:p>
    <w:p w14:paraId="633E50B6" w14:textId="77777777" w:rsidR="005F287A" w:rsidRDefault="005F287A" w:rsidP="00BA7873">
      <w:pPr>
        <w:jc w:val="center"/>
        <w:rPr>
          <w:b/>
          <w:bCs/>
          <w:sz w:val="24"/>
          <w:szCs w:val="24"/>
          <w:u w:val="single"/>
        </w:rPr>
      </w:pPr>
    </w:p>
    <w:p w14:paraId="0DAE7566" w14:textId="3BF91999" w:rsidR="005F287A" w:rsidRPr="005F287A" w:rsidRDefault="005F287A" w:rsidP="00BA7873">
      <w:pPr>
        <w:jc w:val="center"/>
        <w:rPr>
          <w:sz w:val="24"/>
          <w:szCs w:val="24"/>
        </w:rPr>
      </w:pPr>
      <w:r w:rsidRPr="005F287A">
        <w:rPr>
          <w:sz w:val="24"/>
          <w:szCs w:val="24"/>
        </w:rPr>
        <w:t>Daniel Mooney, LL.M (Trinity College)</w:t>
      </w:r>
    </w:p>
    <w:p w14:paraId="72284F67" w14:textId="77777777" w:rsidR="005F287A" w:rsidRDefault="005F287A" w:rsidP="00BA7873">
      <w:pPr>
        <w:jc w:val="center"/>
        <w:rPr>
          <w:b/>
          <w:bCs/>
          <w:sz w:val="24"/>
          <w:szCs w:val="24"/>
          <w:u w:val="single"/>
        </w:rPr>
      </w:pPr>
    </w:p>
    <w:p w14:paraId="6EF2A6C9" w14:textId="77777777" w:rsidR="005F287A" w:rsidRDefault="005F287A" w:rsidP="00BA7873">
      <w:pPr>
        <w:jc w:val="center"/>
        <w:rPr>
          <w:b/>
          <w:bCs/>
          <w:sz w:val="24"/>
          <w:szCs w:val="24"/>
          <w:u w:val="single"/>
        </w:rPr>
      </w:pPr>
    </w:p>
    <w:p w14:paraId="7B971396" w14:textId="77777777" w:rsidR="005F287A" w:rsidRDefault="005F287A" w:rsidP="00BA7873">
      <w:pPr>
        <w:jc w:val="center"/>
        <w:rPr>
          <w:b/>
          <w:bCs/>
          <w:sz w:val="24"/>
          <w:szCs w:val="24"/>
          <w:u w:val="single"/>
        </w:rPr>
      </w:pPr>
    </w:p>
    <w:p w14:paraId="5A350273" w14:textId="6DF56E58" w:rsidR="005F287A" w:rsidRDefault="007D1E00" w:rsidP="00BA7873">
      <w:pPr>
        <w:jc w:val="center"/>
        <w:rPr>
          <w:b/>
          <w:bCs/>
          <w:sz w:val="24"/>
          <w:szCs w:val="24"/>
          <w:u w:val="single"/>
        </w:rPr>
      </w:pPr>
      <w:r w:rsidRPr="005F287A">
        <w:rPr>
          <w:b/>
          <w:bCs/>
          <w:sz w:val="24"/>
          <w:szCs w:val="24"/>
          <w:u w:val="single"/>
        </w:rPr>
        <w:t xml:space="preserve">Media Regulation in Flux: </w:t>
      </w:r>
    </w:p>
    <w:p w14:paraId="001048F5" w14:textId="4947953C" w:rsidR="00725E6C" w:rsidRPr="005F287A" w:rsidRDefault="00C63C80" w:rsidP="00BA7873">
      <w:pPr>
        <w:jc w:val="center"/>
        <w:rPr>
          <w:b/>
          <w:bCs/>
          <w:sz w:val="24"/>
          <w:szCs w:val="24"/>
          <w:u w:val="single"/>
        </w:rPr>
      </w:pPr>
      <w:r w:rsidRPr="005F287A">
        <w:rPr>
          <w:b/>
          <w:bCs/>
          <w:sz w:val="24"/>
          <w:szCs w:val="24"/>
          <w:u w:val="single"/>
        </w:rPr>
        <w:t xml:space="preserve">The </w:t>
      </w:r>
      <w:r w:rsidR="00CA1BB1" w:rsidRPr="005F287A">
        <w:rPr>
          <w:b/>
          <w:bCs/>
          <w:sz w:val="24"/>
          <w:szCs w:val="24"/>
          <w:u w:val="single"/>
        </w:rPr>
        <w:t>AVMSD</w:t>
      </w:r>
      <w:r w:rsidRPr="005F287A">
        <w:rPr>
          <w:b/>
          <w:bCs/>
          <w:sz w:val="24"/>
          <w:szCs w:val="24"/>
          <w:u w:val="single"/>
        </w:rPr>
        <w:t xml:space="preserve"> in the Age of VSPs and Online Content Creation</w:t>
      </w:r>
    </w:p>
    <w:p w14:paraId="594C2DA8" w14:textId="5A805BAC" w:rsidR="005F287A" w:rsidRPr="005F287A" w:rsidRDefault="005F287A" w:rsidP="00BA7873">
      <w:pPr>
        <w:jc w:val="center"/>
        <w:rPr>
          <w:sz w:val="24"/>
          <w:szCs w:val="24"/>
        </w:rPr>
      </w:pPr>
    </w:p>
    <w:p w14:paraId="6625BDF6" w14:textId="5E57D9F2" w:rsidR="005F287A" w:rsidRDefault="005F287A" w:rsidP="003448F7">
      <w:pPr>
        <w:spacing w:line="360" w:lineRule="auto"/>
        <w:jc w:val="both"/>
        <w:rPr>
          <w:sz w:val="24"/>
          <w:szCs w:val="24"/>
        </w:rPr>
      </w:pPr>
    </w:p>
    <w:p w14:paraId="6B51112C" w14:textId="200CB348" w:rsidR="005F287A" w:rsidRDefault="005F287A" w:rsidP="003448F7">
      <w:pPr>
        <w:spacing w:line="360" w:lineRule="auto"/>
        <w:jc w:val="both"/>
        <w:rPr>
          <w:sz w:val="24"/>
          <w:szCs w:val="24"/>
        </w:rPr>
      </w:pPr>
    </w:p>
    <w:p w14:paraId="22469305" w14:textId="0882F3B2" w:rsidR="005F287A" w:rsidRDefault="005F287A" w:rsidP="003448F7">
      <w:pPr>
        <w:spacing w:line="360" w:lineRule="auto"/>
        <w:jc w:val="both"/>
        <w:rPr>
          <w:sz w:val="24"/>
          <w:szCs w:val="24"/>
        </w:rPr>
      </w:pPr>
    </w:p>
    <w:p w14:paraId="22CBB514" w14:textId="7BEE89B1" w:rsidR="005F287A" w:rsidRDefault="005F287A" w:rsidP="003448F7">
      <w:pPr>
        <w:spacing w:line="360" w:lineRule="auto"/>
        <w:jc w:val="both"/>
        <w:rPr>
          <w:sz w:val="24"/>
          <w:szCs w:val="24"/>
        </w:rPr>
      </w:pPr>
    </w:p>
    <w:p w14:paraId="09254BCE" w14:textId="76D9E517" w:rsidR="005F287A" w:rsidRDefault="005F287A" w:rsidP="003448F7">
      <w:pPr>
        <w:spacing w:line="360" w:lineRule="auto"/>
        <w:jc w:val="both"/>
        <w:rPr>
          <w:sz w:val="24"/>
          <w:szCs w:val="24"/>
        </w:rPr>
      </w:pPr>
    </w:p>
    <w:p w14:paraId="20369998" w14:textId="69AF27F8" w:rsidR="005F287A" w:rsidRDefault="005F287A" w:rsidP="003448F7">
      <w:pPr>
        <w:spacing w:line="360" w:lineRule="auto"/>
        <w:jc w:val="both"/>
        <w:rPr>
          <w:sz w:val="24"/>
          <w:szCs w:val="24"/>
        </w:rPr>
      </w:pPr>
    </w:p>
    <w:p w14:paraId="7F9D476E" w14:textId="4FCA4E35" w:rsidR="005F287A" w:rsidRDefault="005F287A" w:rsidP="003448F7">
      <w:pPr>
        <w:spacing w:line="360" w:lineRule="auto"/>
        <w:jc w:val="both"/>
        <w:rPr>
          <w:sz w:val="24"/>
          <w:szCs w:val="24"/>
        </w:rPr>
      </w:pPr>
    </w:p>
    <w:p w14:paraId="3A643072" w14:textId="77777777" w:rsidR="005F287A" w:rsidRPr="005F287A" w:rsidRDefault="005F287A" w:rsidP="005F287A">
      <w:pPr>
        <w:spacing w:line="360" w:lineRule="auto"/>
        <w:jc w:val="center"/>
        <w:rPr>
          <w:b/>
          <w:sz w:val="24"/>
          <w:szCs w:val="24"/>
          <w:lang w:val="en-US"/>
        </w:rPr>
      </w:pPr>
      <w:r w:rsidRPr="005F287A">
        <w:rPr>
          <w:b/>
          <w:sz w:val="24"/>
          <w:szCs w:val="24"/>
          <w:lang w:val="en-US"/>
        </w:rPr>
        <w:t>Edited by: Dr. Ewa Komorek, assistant professor, Trinity College Dublin</w:t>
      </w:r>
    </w:p>
    <w:p w14:paraId="1F271BDA" w14:textId="77777777" w:rsidR="005F287A" w:rsidRPr="005F287A" w:rsidRDefault="005F287A" w:rsidP="003448F7">
      <w:pPr>
        <w:spacing w:line="360" w:lineRule="auto"/>
        <w:jc w:val="both"/>
        <w:rPr>
          <w:sz w:val="24"/>
          <w:szCs w:val="24"/>
          <w:lang w:val="en-US"/>
        </w:rPr>
      </w:pPr>
    </w:p>
    <w:p w14:paraId="70B22056" w14:textId="77777777" w:rsidR="005F287A" w:rsidRDefault="005F287A" w:rsidP="003448F7">
      <w:pPr>
        <w:spacing w:line="360" w:lineRule="auto"/>
        <w:jc w:val="both"/>
        <w:rPr>
          <w:sz w:val="24"/>
          <w:szCs w:val="24"/>
        </w:rPr>
      </w:pPr>
    </w:p>
    <w:p w14:paraId="27C6C8C4" w14:textId="77777777" w:rsidR="005F287A" w:rsidRDefault="005F287A" w:rsidP="003448F7">
      <w:pPr>
        <w:spacing w:line="360" w:lineRule="auto"/>
        <w:jc w:val="both"/>
        <w:rPr>
          <w:sz w:val="24"/>
          <w:szCs w:val="24"/>
        </w:rPr>
      </w:pPr>
    </w:p>
    <w:p w14:paraId="23A0279D" w14:textId="77777777" w:rsidR="005F287A" w:rsidRDefault="005F287A" w:rsidP="003448F7">
      <w:pPr>
        <w:spacing w:line="360" w:lineRule="auto"/>
        <w:jc w:val="both"/>
        <w:rPr>
          <w:sz w:val="24"/>
          <w:szCs w:val="24"/>
        </w:rPr>
      </w:pPr>
    </w:p>
    <w:p w14:paraId="5A612167" w14:textId="5E4F4F40" w:rsidR="00D5632F" w:rsidRDefault="00786E9D" w:rsidP="003448F7">
      <w:pPr>
        <w:spacing w:line="360" w:lineRule="auto"/>
        <w:jc w:val="both"/>
        <w:rPr>
          <w:sz w:val="24"/>
          <w:szCs w:val="24"/>
        </w:rPr>
      </w:pPr>
      <w:r>
        <w:rPr>
          <w:sz w:val="24"/>
          <w:szCs w:val="24"/>
        </w:rPr>
        <w:lastRenderedPageBreak/>
        <w:t>In the age of media convergence, the traditional</w:t>
      </w:r>
      <w:r w:rsidR="00F753CC">
        <w:rPr>
          <w:sz w:val="24"/>
          <w:szCs w:val="24"/>
        </w:rPr>
        <w:t xml:space="preserve"> conception of</w:t>
      </w:r>
      <w:r>
        <w:rPr>
          <w:sz w:val="24"/>
          <w:szCs w:val="24"/>
        </w:rPr>
        <w:t xml:space="preserve"> audiovisual media services ha</w:t>
      </w:r>
      <w:r w:rsidR="00F753CC">
        <w:rPr>
          <w:sz w:val="24"/>
          <w:szCs w:val="24"/>
        </w:rPr>
        <w:t>s</w:t>
      </w:r>
      <w:r>
        <w:rPr>
          <w:sz w:val="24"/>
          <w:szCs w:val="24"/>
        </w:rPr>
        <w:t xml:space="preserve"> increasingly fused with online and digital content</w:t>
      </w:r>
      <w:r w:rsidR="00F753CC">
        <w:rPr>
          <w:sz w:val="24"/>
          <w:szCs w:val="24"/>
        </w:rPr>
        <w:t xml:space="preserve"> thereby changing the way media is understood.</w:t>
      </w:r>
      <w:r w:rsidR="00F007AB">
        <w:rPr>
          <w:sz w:val="24"/>
          <w:szCs w:val="24"/>
        </w:rPr>
        <w:t xml:space="preserve"> In particular, platforms that allow for the uploading and sharing of user-generated content have revolutionised the media landscape, leading to an abundance of </w:t>
      </w:r>
      <w:r w:rsidR="0083783E">
        <w:rPr>
          <w:sz w:val="24"/>
          <w:szCs w:val="24"/>
        </w:rPr>
        <w:t xml:space="preserve">digital audiovisual media content. </w:t>
      </w:r>
      <w:r w:rsidR="00155569">
        <w:rPr>
          <w:sz w:val="24"/>
          <w:szCs w:val="24"/>
        </w:rPr>
        <w:t>So-called video-sharing platforms</w:t>
      </w:r>
      <w:r w:rsidR="00912D26">
        <w:rPr>
          <w:sz w:val="24"/>
          <w:szCs w:val="24"/>
        </w:rPr>
        <w:t xml:space="preserve"> (herein, ‘VSPs’) have exploded in popularity with the likes of You</w:t>
      </w:r>
      <w:r w:rsidR="00781C90">
        <w:rPr>
          <w:sz w:val="24"/>
          <w:szCs w:val="24"/>
        </w:rPr>
        <w:t>T</w:t>
      </w:r>
      <w:r w:rsidR="00912D26">
        <w:rPr>
          <w:sz w:val="24"/>
          <w:szCs w:val="24"/>
        </w:rPr>
        <w:t>ube,</w:t>
      </w:r>
      <w:r w:rsidR="00B83905">
        <w:rPr>
          <w:sz w:val="24"/>
          <w:szCs w:val="24"/>
        </w:rPr>
        <w:t xml:space="preserve"> </w:t>
      </w:r>
      <w:r w:rsidR="00912D26">
        <w:rPr>
          <w:sz w:val="24"/>
          <w:szCs w:val="24"/>
        </w:rPr>
        <w:t>DailyMotion</w:t>
      </w:r>
      <w:r w:rsidR="00B83905">
        <w:rPr>
          <w:sz w:val="24"/>
          <w:szCs w:val="24"/>
        </w:rPr>
        <w:t xml:space="preserve"> and Twitch raking in millions of views</w:t>
      </w:r>
      <w:r w:rsidR="00B64691">
        <w:rPr>
          <w:rStyle w:val="FootnoteReference"/>
          <w:sz w:val="24"/>
          <w:szCs w:val="24"/>
        </w:rPr>
        <w:footnoteReference w:id="1"/>
      </w:r>
      <w:r w:rsidR="00B83905">
        <w:rPr>
          <w:sz w:val="24"/>
          <w:szCs w:val="24"/>
        </w:rPr>
        <w:t xml:space="preserve"> and hosting almost immeasurable amounts of audiovisual content.</w:t>
      </w:r>
      <w:r w:rsidR="00B83905">
        <w:rPr>
          <w:rStyle w:val="FootnoteReference"/>
          <w:sz w:val="24"/>
          <w:szCs w:val="24"/>
        </w:rPr>
        <w:footnoteReference w:id="2"/>
      </w:r>
      <w:r w:rsidR="00B83905">
        <w:rPr>
          <w:sz w:val="24"/>
          <w:szCs w:val="24"/>
        </w:rPr>
        <w:t xml:space="preserve"> </w:t>
      </w:r>
      <w:r w:rsidR="00D5632F">
        <w:rPr>
          <w:sz w:val="24"/>
          <w:szCs w:val="24"/>
        </w:rPr>
        <w:t xml:space="preserve">In Europe in 2018, the numbers showed that 93% of Western Europeans view at least one video a month while in Eastern Europe 91.3% </w:t>
      </w:r>
      <w:r w:rsidR="009F04A1">
        <w:rPr>
          <w:sz w:val="24"/>
          <w:szCs w:val="24"/>
        </w:rPr>
        <w:t>of people were using some kind of video-sharing platform.</w:t>
      </w:r>
      <w:r w:rsidR="009F04A1">
        <w:rPr>
          <w:rStyle w:val="FootnoteReference"/>
          <w:sz w:val="24"/>
          <w:szCs w:val="24"/>
        </w:rPr>
        <w:footnoteReference w:id="3"/>
      </w:r>
      <w:r w:rsidR="009F04A1">
        <w:rPr>
          <w:sz w:val="24"/>
          <w:szCs w:val="24"/>
        </w:rPr>
        <w:t xml:space="preserve"> </w:t>
      </w:r>
      <w:r w:rsidR="00D5632F">
        <w:rPr>
          <w:sz w:val="24"/>
          <w:szCs w:val="24"/>
        </w:rPr>
        <w:t>Combined with the Covid-19 pandemic’s effect on raising media consumption across the platform ecosystem,</w:t>
      </w:r>
      <w:r w:rsidR="009F04A1">
        <w:rPr>
          <w:rStyle w:val="FootnoteReference"/>
          <w:sz w:val="24"/>
          <w:szCs w:val="24"/>
        </w:rPr>
        <w:footnoteReference w:id="4"/>
      </w:r>
      <w:r w:rsidR="00D5632F">
        <w:rPr>
          <w:sz w:val="24"/>
          <w:szCs w:val="24"/>
        </w:rPr>
        <w:t xml:space="preserve"> it is clear that online audiovisual content now represents one of the largest and most important forms of media</w:t>
      </w:r>
      <w:r w:rsidR="00F753CC">
        <w:rPr>
          <w:sz w:val="24"/>
          <w:szCs w:val="24"/>
        </w:rPr>
        <w:t xml:space="preserve"> for Europeans and, indeed, people throughout the world</w:t>
      </w:r>
      <w:r w:rsidR="00D5632F">
        <w:rPr>
          <w:sz w:val="24"/>
          <w:szCs w:val="24"/>
        </w:rPr>
        <w:t xml:space="preserve">. </w:t>
      </w:r>
    </w:p>
    <w:p w14:paraId="3605550A" w14:textId="220E238A" w:rsidR="007A01FC" w:rsidRDefault="007D1E00" w:rsidP="003448F7">
      <w:pPr>
        <w:spacing w:line="360" w:lineRule="auto"/>
        <w:jc w:val="both"/>
        <w:rPr>
          <w:sz w:val="24"/>
          <w:szCs w:val="24"/>
        </w:rPr>
      </w:pPr>
      <w:r>
        <w:rPr>
          <w:sz w:val="24"/>
          <w:szCs w:val="24"/>
        </w:rPr>
        <w:t xml:space="preserve">Media regulation in Europe has borne witness to </w:t>
      </w:r>
      <w:r w:rsidR="007A01FC">
        <w:rPr>
          <w:sz w:val="24"/>
          <w:szCs w:val="24"/>
        </w:rPr>
        <w:t xml:space="preserve">these </w:t>
      </w:r>
      <w:r>
        <w:rPr>
          <w:sz w:val="24"/>
          <w:szCs w:val="24"/>
        </w:rPr>
        <w:t>great changes throughout the years, expanding in complexity and scope over time. Beginning</w:t>
      </w:r>
      <w:r w:rsidR="00070E8B">
        <w:rPr>
          <w:sz w:val="24"/>
          <w:szCs w:val="24"/>
        </w:rPr>
        <w:t xml:space="preserve"> </w:t>
      </w:r>
      <w:r w:rsidR="00391E39">
        <w:rPr>
          <w:sz w:val="24"/>
          <w:szCs w:val="24"/>
        </w:rPr>
        <w:t xml:space="preserve">with the </w:t>
      </w:r>
      <w:r w:rsidR="0063766F">
        <w:rPr>
          <w:sz w:val="24"/>
          <w:szCs w:val="24"/>
        </w:rPr>
        <w:t>Television</w:t>
      </w:r>
      <w:r w:rsidR="00391E39">
        <w:rPr>
          <w:sz w:val="24"/>
          <w:szCs w:val="24"/>
        </w:rPr>
        <w:t xml:space="preserve"> </w:t>
      </w:r>
      <w:r w:rsidR="0063766F">
        <w:rPr>
          <w:sz w:val="24"/>
          <w:szCs w:val="24"/>
        </w:rPr>
        <w:t>Without Frontiers Directive</w:t>
      </w:r>
      <w:r w:rsidR="00B75EB4">
        <w:rPr>
          <w:sz w:val="24"/>
          <w:szCs w:val="24"/>
        </w:rPr>
        <w:t>,</w:t>
      </w:r>
      <w:r w:rsidR="0063766F">
        <w:rPr>
          <w:rStyle w:val="FootnoteReference"/>
          <w:sz w:val="24"/>
          <w:szCs w:val="24"/>
        </w:rPr>
        <w:footnoteReference w:id="5"/>
      </w:r>
      <w:r w:rsidR="00156F9D">
        <w:rPr>
          <w:sz w:val="24"/>
          <w:szCs w:val="24"/>
        </w:rPr>
        <w:t xml:space="preserve"> </w:t>
      </w:r>
      <w:r w:rsidR="00B75EB4">
        <w:rPr>
          <w:sz w:val="24"/>
          <w:szCs w:val="24"/>
        </w:rPr>
        <w:t>the European Union</w:t>
      </w:r>
      <w:r w:rsidR="00781C90">
        <w:rPr>
          <w:sz w:val="24"/>
          <w:szCs w:val="24"/>
        </w:rPr>
        <w:t xml:space="preserve"> (EU)</w:t>
      </w:r>
      <w:r w:rsidR="00B75EB4">
        <w:rPr>
          <w:sz w:val="24"/>
          <w:szCs w:val="24"/>
        </w:rPr>
        <w:t xml:space="preserve"> has increasingly </w:t>
      </w:r>
      <w:r w:rsidR="00851232">
        <w:rPr>
          <w:sz w:val="24"/>
          <w:szCs w:val="24"/>
        </w:rPr>
        <w:t>intervened in the audiovisual media sector seeking to regulate</w:t>
      </w:r>
      <w:r w:rsidR="004F47E6">
        <w:rPr>
          <w:sz w:val="24"/>
          <w:szCs w:val="24"/>
        </w:rPr>
        <w:t xml:space="preserve"> effectively</w:t>
      </w:r>
      <w:r w:rsidR="00DF329C">
        <w:rPr>
          <w:sz w:val="24"/>
          <w:szCs w:val="24"/>
        </w:rPr>
        <w:t xml:space="preserve"> as media consumption evolves along with technology. </w:t>
      </w:r>
      <w:r w:rsidR="00851232">
        <w:rPr>
          <w:sz w:val="24"/>
          <w:szCs w:val="24"/>
        </w:rPr>
        <w:t>The Commission’s Digital Single Market strategy represents the next step in European policymaking in the field of technology and digital society,</w:t>
      </w:r>
      <w:r w:rsidR="00F753CC">
        <w:rPr>
          <w:rStyle w:val="FootnoteReference"/>
          <w:sz w:val="24"/>
          <w:szCs w:val="24"/>
        </w:rPr>
        <w:footnoteReference w:id="6"/>
      </w:r>
      <w:r w:rsidR="00851232">
        <w:rPr>
          <w:sz w:val="24"/>
          <w:szCs w:val="24"/>
        </w:rPr>
        <w:t xml:space="preserve"> including the increasingly digitised audiovisual media sector. </w:t>
      </w:r>
      <w:r w:rsidR="00DF329C">
        <w:rPr>
          <w:sz w:val="24"/>
          <w:szCs w:val="24"/>
        </w:rPr>
        <w:t>The 2018 revision to the A</w:t>
      </w:r>
      <w:r w:rsidR="009A776D">
        <w:rPr>
          <w:sz w:val="24"/>
          <w:szCs w:val="24"/>
        </w:rPr>
        <w:t xml:space="preserve">udiovisual </w:t>
      </w:r>
      <w:r w:rsidR="00DF329C">
        <w:rPr>
          <w:sz w:val="24"/>
          <w:szCs w:val="24"/>
        </w:rPr>
        <w:t>M</w:t>
      </w:r>
      <w:r w:rsidR="009A776D">
        <w:rPr>
          <w:sz w:val="24"/>
          <w:szCs w:val="24"/>
        </w:rPr>
        <w:t xml:space="preserve">edia </w:t>
      </w:r>
      <w:r w:rsidR="00DF329C">
        <w:rPr>
          <w:sz w:val="24"/>
          <w:szCs w:val="24"/>
        </w:rPr>
        <w:t>S</w:t>
      </w:r>
      <w:r w:rsidR="009A776D">
        <w:rPr>
          <w:sz w:val="24"/>
          <w:szCs w:val="24"/>
        </w:rPr>
        <w:t>ervices</w:t>
      </w:r>
      <w:r w:rsidR="00DF329C">
        <w:rPr>
          <w:sz w:val="24"/>
          <w:szCs w:val="24"/>
        </w:rPr>
        <w:t xml:space="preserve"> Directive</w:t>
      </w:r>
      <w:r w:rsidR="009A776D">
        <w:rPr>
          <w:rStyle w:val="FootnoteReference"/>
          <w:sz w:val="24"/>
          <w:szCs w:val="24"/>
        </w:rPr>
        <w:footnoteReference w:id="7"/>
      </w:r>
      <w:r w:rsidR="00DF329C">
        <w:rPr>
          <w:sz w:val="24"/>
          <w:szCs w:val="24"/>
        </w:rPr>
        <w:t xml:space="preserve"> (herein, ‘</w:t>
      </w:r>
      <w:r w:rsidR="00DF329C" w:rsidRPr="00CA1BB1">
        <w:rPr>
          <w:b/>
          <w:bCs/>
          <w:sz w:val="24"/>
          <w:szCs w:val="24"/>
        </w:rPr>
        <w:t xml:space="preserve">the </w:t>
      </w:r>
      <w:r w:rsidR="00CA1BB1" w:rsidRPr="00CA1BB1">
        <w:rPr>
          <w:b/>
          <w:bCs/>
          <w:sz w:val="24"/>
          <w:szCs w:val="24"/>
        </w:rPr>
        <w:t>AVMSD</w:t>
      </w:r>
      <w:r w:rsidR="00DF329C" w:rsidRPr="00CA1BB1">
        <w:rPr>
          <w:b/>
          <w:bCs/>
          <w:sz w:val="24"/>
          <w:szCs w:val="24"/>
        </w:rPr>
        <w:t>’</w:t>
      </w:r>
      <w:r w:rsidR="00DF329C">
        <w:rPr>
          <w:sz w:val="24"/>
          <w:szCs w:val="24"/>
        </w:rPr>
        <w:t>)</w:t>
      </w:r>
      <w:r w:rsidR="00B40C38">
        <w:rPr>
          <w:sz w:val="24"/>
          <w:szCs w:val="24"/>
        </w:rPr>
        <w:t xml:space="preserve"> was a core part of this strategy, and it</w:t>
      </w:r>
      <w:r w:rsidR="00DF329C">
        <w:rPr>
          <w:sz w:val="24"/>
          <w:szCs w:val="24"/>
        </w:rPr>
        <w:t xml:space="preserve"> expanded the scope of audiovisual media regulation to include VSPs</w:t>
      </w:r>
      <w:r w:rsidR="00781C90">
        <w:rPr>
          <w:sz w:val="24"/>
          <w:szCs w:val="24"/>
        </w:rPr>
        <w:t xml:space="preserve">, in response to their ever-increasing importance </w:t>
      </w:r>
      <w:r w:rsidR="00781C90">
        <w:rPr>
          <w:sz w:val="24"/>
          <w:szCs w:val="24"/>
        </w:rPr>
        <w:lastRenderedPageBreak/>
        <w:t xml:space="preserve">to the media consumption landscape. </w:t>
      </w:r>
      <w:r w:rsidR="00F007AB">
        <w:rPr>
          <w:sz w:val="24"/>
          <w:szCs w:val="24"/>
        </w:rPr>
        <w:t xml:space="preserve">The advent of the </w:t>
      </w:r>
      <w:r w:rsidR="00CA1BB1">
        <w:rPr>
          <w:sz w:val="24"/>
          <w:szCs w:val="24"/>
        </w:rPr>
        <w:t>AVMSD</w:t>
      </w:r>
      <w:r w:rsidR="00F007AB">
        <w:rPr>
          <w:sz w:val="24"/>
          <w:szCs w:val="24"/>
        </w:rPr>
        <w:t xml:space="preserve"> ushers in a new era of audiovisual media regulation, </w:t>
      </w:r>
      <w:r w:rsidR="001339C0">
        <w:rPr>
          <w:sz w:val="24"/>
          <w:szCs w:val="24"/>
        </w:rPr>
        <w:t>bringing</w:t>
      </w:r>
      <w:r w:rsidR="00F007AB">
        <w:rPr>
          <w:sz w:val="24"/>
          <w:szCs w:val="24"/>
        </w:rPr>
        <w:t xml:space="preserve"> with it a revamped legal framework for some of the largest players in the media landscape.</w:t>
      </w:r>
    </w:p>
    <w:p w14:paraId="287D69CE" w14:textId="277A915F" w:rsidR="002229A5" w:rsidRDefault="00C63C80" w:rsidP="003448F7">
      <w:pPr>
        <w:spacing w:line="360" w:lineRule="auto"/>
        <w:jc w:val="both"/>
        <w:rPr>
          <w:sz w:val="24"/>
          <w:szCs w:val="24"/>
        </w:rPr>
      </w:pPr>
      <w:r>
        <w:rPr>
          <w:sz w:val="24"/>
          <w:szCs w:val="24"/>
        </w:rPr>
        <w:t xml:space="preserve">This essay aims to analyse the revised </w:t>
      </w:r>
      <w:r w:rsidR="00CA1BB1">
        <w:rPr>
          <w:sz w:val="24"/>
          <w:szCs w:val="24"/>
        </w:rPr>
        <w:t>AVMSD</w:t>
      </w:r>
      <w:r>
        <w:rPr>
          <w:sz w:val="24"/>
          <w:szCs w:val="24"/>
        </w:rPr>
        <w:t xml:space="preserve"> in respect of its application to VSPs, focusing on critically assessing whether the new provisions</w:t>
      </w:r>
      <w:r w:rsidR="0075356E">
        <w:rPr>
          <w:sz w:val="24"/>
          <w:szCs w:val="24"/>
        </w:rPr>
        <w:t xml:space="preserve"> are adequate in regulating platforms and their content creators. Part </w:t>
      </w:r>
      <w:r w:rsidR="006114B7">
        <w:rPr>
          <w:sz w:val="24"/>
          <w:szCs w:val="24"/>
        </w:rPr>
        <w:t>I</w:t>
      </w:r>
      <w:r w:rsidR="0075356E">
        <w:rPr>
          <w:sz w:val="24"/>
          <w:szCs w:val="24"/>
        </w:rPr>
        <w:t xml:space="preserve"> will </w:t>
      </w:r>
      <w:r w:rsidR="002229A5">
        <w:rPr>
          <w:sz w:val="24"/>
          <w:szCs w:val="24"/>
        </w:rPr>
        <w:t>begin by setting out and examining the pre-2018 regulatory structure, p</w:t>
      </w:r>
      <w:r w:rsidR="002229A5" w:rsidRPr="00D8097F">
        <w:rPr>
          <w:sz w:val="24"/>
          <w:szCs w:val="24"/>
        </w:rPr>
        <w:t xml:space="preserve">roviding an overview of the issues that faced the audiovisual media sector in respect of VSP regulation. </w:t>
      </w:r>
      <w:r w:rsidR="007B3EBF" w:rsidRPr="00D8097F">
        <w:rPr>
          <w:sz w:val="24"/>
          <w:szCs w:val="24"/>
        </w:rPr>
        <w:t xml:space="preserve">It will provide context for the analysis and discussion of the Directives changes in the subsequent sections. </w:t>
      </w:r>
      <w:r w:rsidR="002229A5" w:rsidRPr="00D8097F">
        <w:rPr>
          <w:sz w:val="24"/>
          <w:szCs w:val="24"/>
        </w:rPr>
        <w:t xml:space="preserve">Part </w:t>
      </w:r>
      <w:r w:rsidR="006114B7" w:rsidRPr="00D8097F">
        <w:rPr>
          <w:sz w:val="24"/>
          <w:szCs w:val="24"/>
        </w:rPr>
        <w:t>II</w:t>
      </w:r>
      <w:r w:rsidR="002229A5" w:rsidRPr="00D8097F">
        <w:rPr>
          <w:sz w:val="24"/>
          <w:szCs w:val="24"/>
        </w:rPr>
        <w:t xml:space="preserve"> will then examine the scope and definitions </w:t>
      </w:r>
      <w:r w:rsidR="007B3EBF" w:rsidRPr="00D8097F">
        <w:rPr>
          <w:sz w:val="24"/>
          <w:szCs w:val="24"/>
        </w:rPr>
        <w:t>for VSPs</w:t>
      </w:r>
      <w:r w:rsidR="00B40C38" w:rsidRPr="00D8097F">
        <w:rPr>
          <w:sz w:val="24"/>
          <w:szCs w:val="24"/>
        </w:rPr>
        <w:t xml:space="preserve">, </w:t>
      </w:r>
      <w:r w:rsidR="000F50E2" w:rsidRPr="00D8097F">
        <w:rPr>
          <w:sz w:val="24"/>
          <w:szCs w:val="24"/>
        </w:rPr>
        <w:t>including guidance that lays out how such services are to be identified.</w:t>
      </w:r>
      <w:r w:rsidR="007B3EBF" w:rsidRPr="00D8097F">
        <w:rPr>
          <w:sz w:val="24"/>
          <w:szCs w:val="24"/>
        </w:rPr>
        <w:t xml:space="preserve"> Part </w:t>
      </w:r>
      <w:r w:rsidR="006114B7" w:rsidRPr="00D8097F">
        <w:rPr>
          <w:sz w:val="24"/>
          <w:szCs w:val="24"/>
        </w:rPr>
        <w:t>III</w:t>
      </w:r>
      <w:r w:rsidR="007B3EBF" w:rsidRPr="00D8097F">
        <w:rPr>
          <w:sz w:val="24"/>
          <w:szCs w:val="24"/>
        </w:rPr>
        <w:t xml:space="preserve"> will </w:t>
      </w:r>
      <w:r w:rsidR="006114B7" w:rsidRPr="00D8097F">
        <w:rPr>
          <w:sz w:val="24"/>
          <w:szCs w:val="24"/>
        </w:rPr>
        <w:t>discuss the</w:t>
      </w:r>
      <w:r w:rsidR="001704AA" w:rsidRPr="00D8097F">
        <w:rPr>
          <w:sz w:val="24"/>
          <w:szCs w:val="24"/>
        </w:rPr>
        <w:t xml:space="preserve"> general</w:t>
      </w:r>
      <w:r w:rsidR="007B3EBF" w:rsidRPr="00D8097F">
        <w:rPr>
          <w:sz w:val="24"/>
          <w:szCs w:val="24"/>
        </w:rPr>
        <w:t xml:space="preserve"> obligations, </w:t>
      </w:r>
      <w:r w:rsidR="001704AA" w:rsidRPr="00D8097F">
        <w:rPr>
          <w:sz w:val="24"/>
          <w:szCs w:val="24"/>
        </w:rPr>
        <w:t xml:space="preserve">moving onto the content restrictions </w:t>
      </w:r>
      <w:r w:rsidR="007B3EBF" w:rsidRPr="00D8097F">
        <w:rPr>
          <w:sz w:val="24"/>
          <w:szCs w:val="24"/>
        </w:rPr>
        <w:t>specifically in relation to harmful and illegal online content, which brings VSP regulation into line with the standards for other forms of media</w:t>
      </w:r>
      <w:r w:rsidR="006114B7" w:rsidRPr="00D8097F">
        <w:rPr>
          <w:sz w:val="24"/>
          <w:szCs w:val="24"/>
        </w:rPr>
        <w:t xml:space="preserve"> services</w:t>
      </w:r>
      <w:r w:rsidR="007B3EBF" w:rsidRPr="00D8097F">
        <w:rPr>
          <w:sz w:val="24"/>
          <w:szCs w:val="24"/>
        </w:rPr>
        <w:t xml:space="preserve">. </w:t>
      </w:r>
      <w:r w:rsidR="007D724C" w:rsidRPr="00D8097F">
        <w:rPr>
          <w:sz w:val="24"/>
          <w:szCs w:val="24"/>
        </w:rPr>
        <w:t xml:space="preserve">It </w:t>
      </w:r>
      <w:r w:rsidR="007B3EBF" w:rsidRPr="00D8097F">
        <w:rPr>
          <w:sz w:val="24"/>
          <w:szCs w:val="24"/>
        </w:rPr>
        <w:t xml:space="preserve">will then move to </w:t>
      </w:r>
      <w:r w:rsidR="00B40C38" w:rsidRPr="00D8097F">
        <w:rPr>
          <w:sz w:val="24"/>
          <w:szCs w:val="24"/>
        </w:rPr>
        <w:t>outline</w:t>
      </w:r>
      <w:r w:rsidR="00DF329C">
        <w:rPr>
          <w:sz w:val="24"/>
          <w:szCs w:val="24"/>
        </w:rPr>
        <w:t xml:space="preserve"> the commercial communication obligations and their </w:t>
      </w:r>
      <w:r w:rsidR="00B40C38">
        <w:rPr>
          <w:sz w:val="24"/>
          <w:szCs w:val="24"/>
        </w:rPr>
        <w:t xml:space="preserve">practical </w:t>
      </w:r>
      <w:r w:rsidR="00DF329C">
        <w:rPr>
          <w:sz w:val="24"/>
          <w:szCs w:val="24"/>
        </w:rPr>
        <w:t xml:space="preserve">impact </w:t>
      </w:r>
      <w:r w:rsidR="00B40C38">
        <w:rPr>
          <w:sz w:val="24"/>
          <w:szCs w:val="24"/>
        </w:rPr>
        <w:t>on</w:t>
      </w:r>
      <w:r w:rsidR="00DF329C">
        <w:rPr>
          <w:sz w:val="24"/>
          <w:szCs w:val="24"/>
        </w:rPr>
        <w:t xml:space="preserve"> VSPs, alongside some of the other new regulatory requirements.</w:t>
      </w:r>
      <w:r w:rsidR="00B40C38">
        <w:rPr>
          <w:sz w:val="24"/>
          <w:szCs w:val="24"/>
        </w:rPr>
        <w:t xml:space="preserve"> Part </w:t>
      </w:r>
      <w:r w:rsidR="007D724C">
        <w:rPr>
          <w:sz w:val="24"/>
          <w:szCs w:val="24"/>
        </w:rPr>
        <w:t>I</w:t>
      </w:r>
      <w:r w:rsidR="006114B7">
        <w:rPr>
          <w:sz w:val="24"/>
          <w:szCs w:val="24"/>
        </w:rPr>
        <w:t>V</w:t>
      </w:r>
      <w:r w:rsidR="00B40C38">
        <w:rPr>
          <w:sz w:val="24"/>
          <w:szCs w:val="24"/>
        </w:rPr>
        <w:t xml:space="preserve"> will then briefly consider the implications of the </w:t>
      </w:r>
      <w:r w:rsidR="00CA1BB1">
        <w:rPr>
          <w:sz w:val="24"/>
          <w:szCs w:val="24"/>
        </w:rPr>
        <w:t>AVMSD</w:t>
      </w:r>
      <w:r w:rsidR="00B40C38">
        <w:rPr>
          <w:sz w:val="24"/>
          <w:szCs w:val="24"/>
        </w:rPr>
        <w:t xml:space="preserve"> for influencers and vloggers, who are now newly subject to the Directive’s regime. Finally, the essay will conclude by analysing the Directive in the context of the broader regulatory shift that is ongoing in Europe’s digital policy sphere, arguing that the Directive plays a key role in safeguarding audiences and effectively regulating media in the EU.</w:t>
      </w:r>
    </w:p>
    <w:p w14:paraId="2DE7F7F2" w14:textId="7809DF8E" w:rsidR="002229A5" w:rsidRPr="00093E9C" w:rsidRDefault="00851232" w:rsidP="003448F7">
      <w:pPr>
        <w:spacing w:line="360" w:lineRule="auto"/>
        <w:jc w:val="center"/>
        <w:rPr>
          <w:b/>
          <w:bCs/>
          <w:sz w:val="24"/>
          <w:szCs w:val="24"/>
        </w:rPr>
      </w:pPr>
      <w:r w:rsidRPr="00093E9C">
        <w:rPr>
          <w:b/>
          <w:bCs/>
          <w:sz w:val="24"/>
          <w:szCs w:val="24"/>
        </w:rPr>
        <w:t>P</w:t>
      </w:r>
      <w:r w:rsidR="00A35019">
        <w:rPr>
          <w:b/>
          <w:bCs/>
          <w:sz w:val="24"/>
          <w:szCs w:val="24"/>
        </w:rPr>
        <w:t>art</w:t>
      </w:r>
      <w:r w:rsidR="00786E9D" w:rsidRPr="00093E9C">
        <w:rPr>
          <w:b/>
          <w:bCs/>
          <w:sz w:val="24"/>
          <w:szCs w:val="24"/>
        </w:rPr>
        <w:t xml:space="preserve"> I:</w:t>
      </w:r>
      <w:r w:rsidRPr="00093E9C">
        <w:rPr>
          <w:b/>
          <w:bCs/>
          <w:sz w:val="24"/>
          <w:szCs w:val="24"/>
        </w:rPr>
        <w:t xml:space="preserve"> </w:t>
      </w:r>
      <w:r w:rsidR="00786E9D" w:rsidRPr="00093E9C">
        <w:rPr>
          <w:b/>
          <w:bCs/>
          <w:sz w:val="24"/>
          <w:szCs w:val="24"/>
        </w:rPr>
        <w:t>Background</w:t>
      </w:r>
      <w:r w:rsidR="00093E9C" w:rsidRPr="00093E9C">
        <w:rPr>
          <w:b/>
          <w:bCs/>
          <w:sz w:val="24"/>
          <w:szCs w:val="24"/>
        </w:rPr>
        <w:t xml:space="preserve"> to the 2018 Revision – VSPs in a </w:t>
      </w:r>
      <w:r w:rsidR="00093E9C">
        <w:rPr>
          <w:b/>
          <w:bCs/>
          <w:sz w:val="24"/>
          <w:szCs w:val="24"/>
        </w:rPr>
        <w:t xml:space="preserve">Regulatory </w:t>
      </w:r>
      <w:r w:rsidR="00093E9C" w:rsidRPr="00093E9C">
        <w:rPr>
          <w:b/>
          <w:bCs/>
          <w:sz w:val="24"/>
          <w:szCs w:val="24"/>
        </w:rPr>
        <w:t>Vacuum</w:t>
      </w:r>
    </w:p>
    <w:p w14:paraId="122B5941" w14:textId="4AEF2DC7" w:rsidR="002229A5" w:rsidRDefault="00786E9D" w:rsidP="003448F7">
      <w:pPr>
        <w:spacing w:line="360" w:lineRule="auto"/>
        <w:jc w:val="both"/>
        <w:rPr>
          <w:sz w:val="24"/>
          <w:szCs w:val="24"/>
        </w:rPr>
      </w:pPr>
      <w:r>
        <w:rPr>
          <w:sz w:val="24"/>
          <w:szCs w:val="24"/>
        </w:rPr>
        <w:t xml:space="preserve">Prior to the enactment of the </w:t>
      </w:r>
      <w:r w:rsidR="00702EB8">
        <w:rPr>
          <w:sz w:val="24"/>
          <w:szCs w:val="24"/>
        </w:rPr>
        <w:t xml:space="preserve">current </w:t>
      </w:r>
      <w:r w:rsidR="00CA1BB1">
        <w:rPr>
          <w:sz w:val="24"/>
          <w:szCs w:val="24"/>
        </w:rPr>
        <w:t>AVMSD</w:t>
      </w:r>
      <w:r w:rsidR="00702EB8">
        <w:rPr>
          <w:sz w:val="24"/>
          <w:szCs w:val="24"/>
        </w:rPr>
        <w:t xml:space="preserve">, VSPs were, </w:t>
      </w:r>
      <w:r w:rsidR="007D3E26">
        <w:rPr>
          <w:sz w:val="24"/>
          <w:szCs w:val="24"/>
        </w:rPr>
        <w:t>for the purposes of media regulation</w:t>
      </w:r>
      <w:r w:rsidR="00702EB8">
        <w:rPr>
          <w:sz w:val="24"/>
          <w:szCs w:val="24"/>
        </w:rPr>
        <w:t xml:space="preserve">, </w:t>
      </w:r>
      <w:r w:rsidR="007D3E26">
        <w:rPr>
          <w:sz w:val="24"/>
          <w:szCs w:val="24"/>
        </w:rPr>
        <w:t xml:space="preserve">essentially </w:t>
      </w:r>
      <w:r w:rsidR="00702EB8">
        <w:rPr>
          <w:sz w:val="24"/>
          <w:szCs w:val="24"/>
        </w:rPr>
        <w:t xml:space="preserve">unregulated in the EU. </w:t>
      </w:r>
      <w:r w:rsidR="00834256">
        <w:rPr>
          <w:sz w:val="24"/>
          <w:szCs w:val="24"/>
        </w:rPr>
        <w:t xml:space="preserve">Indeed, examining the previous iterations of the </w:t>
      </w:r>
      <w:r w:rsidR="00CA1BB1">
        <w:rPr>
          <w:sz w:val="24"/>
          <w:szCs w:val="24"/>
        </w:rPr>
        <w:t>AVMSD</w:t>
      </w:r>
      <w:r w:rsidR="00834256">
        <w:rPr>
          <w:sz w:val="24"/>
          <w:szCs w:val="24"/>
        </w:rPr>
        <w:t xml:space="preserve"> show that the inclusion of internet-based services has been an incremental and, arguably, slow process.</w:t>
      </w:r>
      <w:r w:rsidR="00834256">
        <w:rPr>
          <w:rStyle w:val="FootnoteReference"/>
          <w:sz w:val="24"/>
          <w:szCs w:val="24"/>
        </w:rPr>
        <w:footnoteReference w:id="8"/>
      </w:r>
      <w:r w:rsidR="00834256">
        <w:rPr>
          <w:sz w:val="24"/>
          <w:szCs w:val="24"/>
        </w:rPr>
        <w:t xml:space="preserve"> While the scope of the Directive was expanded to include on-demand services un</w:t>
      </w:r>
      <w:r w:rsidR="009F0A6E">
        <w:rPr>
          <w:sz w:val="24"/>
          <w:szCs w:val="24"/>
        </w:rPr>
        <w:t xml:space="preserve">der the </w:t>
      </w:r>
      <w:r w:rsidR="00834256">
        <w:rPr>
          <w:sz w:val="24"/>
          <w:szCs w:val="24"/>
        </w:rPr>
        <w:t>2010</w:t>
      </w:r>
      <w:r w:rsidR="009F0A6E">
        <w:rPr>
          <w:sz w:val="24"/>
          <w:szCs w:val="24"/>
        </w:rPr>
        <w:t xml:space="preserve"> regime, the </w:t>
      </w:r>
      <w:r w:rsidR="00CA1BB1">
        <w:rPr>
          <w:sz w:val="24"/>
          <w:szCs w:val="24"/>
        </w:rPr>
        <w:t>AVMSD</w:t>
      </w:r>
      <w:r w:rsidR="009F0A6E">
        <w:rPr>
          <w:sz w:val="24"/>
          <w:szCs w:val="24"/>
        </w:rPr>
        <w:t xml:space="preserve"> specifically did not include VSPs</w:t>
      </w:r>
      <w:r w:rsidR="00C52D91">
        <w:rPr>
          <w:sz w:val="24"/>
          <w:szCs w:val="24"/>
        </w:rPr>
        <w:t>, who were considered to fall under the category of ‘information society services’</w:t>
      </w:r>
      <w:r w:rsidR="00C52D91">
        <w:rPr>
          <w:rStyle w:val="FootnoteReference"/>
          <w:sz w:val="24"/>
          <w:szCs w:val="24"/>
        </w:rPr>
        <w:footnoteReference w:id="9"/>
      </w:r>
      <w:r w:rsidR="00C52D91">
        <w:rPr>
          <w:sz w:val="24"/>
          <w:szCs w:val="24"/>
        </w:rPr>
        <w:t xml:space="preserve"> and thus were regulated under the e-Commerce</w:t>
      </w:r>
      <w:r w:rsidR="009F0A6E">
        <w:rPr>
          <w:sz w:val="24"/>
          <w:szCs w:val="24"/>
        </w:rPr>
        <w:t xml:space="preserve"> </w:t>
      </w:r>
      <w:r w:rsidR="00C52D91">
        <w:rPr>
          <w:sz w:val="24"/>
          <w:szCs w:val="24"/>
        </w:rPr>
        <w:t>Directive.</w:t>
      </w:r>
      <w:r w:rsidR="00C52D91">
        <w:rPr>
          <w:rStyle w:val="FootnoteReference"/>
          <w:sz w:val="24"/>
          <w:szCs w:val="24"/>
        </w:rPr>
        <w:footnoteReference w:id="10"/>
      </w:r>
      <w:r w:rsidR="006C527B">
        <w:rPr>
          <w:sz w:val="24"/>
          <w:szCs w:val="24"/>
        </w:rPr>
        <w:t xml:space="preserve"> Although VSPs as services were not formally controlled </w:t>
      </w:r>
      <w:r w:rsidR="006C527B">
        <w:rPr>
          <w:sz w:val="24"/>
          <w:szCs w:val="24"/>
        </w:rPr>
        <w:lastRenderedPageBreak/>
        <w:t xml:space="preserve">under media regulation, they were still subject to a </w:t>
      </w:r>
      <w:r w:rsidR="000E4EDD">
        <w:rPr>
          <w:sz w:val="24"/>
          <w:szCs w:val="24"/>
        </w:rPr>
        <w:t>host of varying rules at Member State level, including the likes of Germany’s NetzDG</w:t>
      </w:r>
      <w:r w:rsidR="000E4EDD">
        <w:rPr>
          <w:rStyle w:val="FootnoteReference"/>
          <w:sz w:val="24"/>
          <w:szCs w:val="24"/>
        </w:rPr>
        <w:footnoteReference w:id="11"/>
      </w:r>
      <w:r w:rsidR="00A35019">
        <w:rPr>
          <w:sz w:val="24"/>
          <w:szCs w:val="24"/>
        </w:rPr>
        <w:t xml:space="preserve"> </w:t>
      </w:r>
      <w:r w:rsidR="000E4EDD">
        <w:rPr>
          <w:sz w:val="24"/>
          <w:szCs w:val="24"/>
        </w:rPr>
        <w:t>and other tax laws that aimed to</w:t>
      </w:r>
      <w:r w:rsidR="00455883">
        <w:rPr>
          <w:sz w:val="24"/>
          <w:szCs w:val="24"/>
        </w:rPr>
        <w:t xml:space="preserve"> promote</w:t>
      </w:r>
      <w:r w:rsidR="000E4EDD">
        <w:rPr>
          <w:sz w:val="24"/>
          <w:szCs w:val="24"/>
        </w:rPr>
        <w:t xml:space="preserve"> European content.</w:t>
      </w:r>
      <w:r w:rsidR="000E4EDD">
        <w:rPr>
          <w:rStyle w:val="FootnoteReference"/>
          <w:sz w:val="24"/>
          <w:szCs w:val="24"/>
        </w:rPr>
        <w:footnoteReference w:id="12"/>
      </w:r>
    </w:p>
    <w:p w14:paraId="721A3944" w14:textId="2A8D18B9" w:rsidR="002229A5" w:rsidRDefault="001D616E" w:rsidP="003448F7">
      <w:pPr>
        <w:spacing w:line="360" w:lineRule="auto"/>
        <w:jc w:val="both"/>
        <w:rPr>
          <w:sz w:val="24"/>
          <w:szCs w:val="24"/>
        </w:rPr>
      </w:pPr>
      <w:r>
        <w:rPr>
          <w:sz w:val="24"/>
          <w:szCs w:val="24"/>
        </w:rPr>
        <w:t>In more general terms, there was very little in the way of</w:t>
      </w:r>
      <w:r w:rsidR="00F8516E">
        <w:rPr>
          <w:sz w:val="24"/>
          <w:szCs w:val="24"/>
        </w:rPr>
        <w:t xml:space="preserve"> content controls</w:t>
      </w:r>
      <w:r w:rsidR="006C527B">
        <w:rPr>
          <w:sz w:val="24"/>
          <w:szCs w:val="24"/>
        </w:rPr>
        <w:t xml:space="preserve"> aside from the very general provisions across </w:t>
      </w:r>
      <w:r w:rsidR="00455883">
        <w:rPr>
          <w:sz w:val="24"/>
          <w:szCs w:val="24"/>
        </w:rPr>
        <w:t>the various platforms’ self-regulatory initiatives</w:t>
      </w:r>
      <w:r w:rsidR="00F8516E">
        <w:rPr>
          <w:sz w:val="24"/>
          <w:szCs w:val="24"/>
        </w:rPr>
        <w:t>.</w:t>
      </w:r>
      <w:r w:rsidR="00455883">
        <w:rPr>
          <w:rStyle w:val="FootnoteReference"/>
          <w:sz w:val="24"/>
          <w:szCs w:val="24"/>
        </w:rPr>
        <w:footnoteReference w:id="13"/>
      </w:r>
      <w:r w:rsidR="00F8516E">
        <w:rPr>
          <w:sz w:val="24"/>
          <w:szCs w:val="24"/>
        </w:rPr>
        <w:t xml:space="preserve"> For </w:t>
      </w:r>
      <w:r w:rsidR="00F8516E" w:rsidRPr="00455883">
        <w:rPr>
          <w:sz w:val="24"/>
          <w:szCs w:val="24"/>
        </w:rPr>
        <w:t>instance,</w:t>
      </w:r>
      <w:r w:rsidR="00455883">
        <w:rPr>
          <w:sz w:val="24"/>
          <w:szCs w:val="24"/>
        </w:rPr>
        <w:t xml:space="preserve"> YouTube was a participant in a number of self-regulatory protocols as well as having its own internal programmes, like YouTube Kids etc.</w:t>
      </w:r>
      <w:r w:rsidR="00455883">
        <w:rPr>
          <w:rStyle w:val="FootnoteReference"/>
          <w:sz w:val="24"/>
          <w:szCs w:val="24"/>
        </w:rPr>
        <w:footnoteReference w:id="14"/>
      </w:r>
      <w:r w:rsidR="00F8516E">
        <w:rPr>
          <w:sz w:val="24"/>
          <w:szCs w:val="24"/>
        </w:rPr>
        <w:t xml:space="preserve"> </w:t>
      </w:r>
      <w:r>
        <w:rPr>
          <w:sz w:val="24"/>
          <w:szCs w:val="24"/>
        </w:rPr>
        <w:t>There were also no regulations that prohibited or restricted the advertising of alcohol or unhealthy foods/drinks, with the emphasis instead on self-regulation</w:t>
      </w:r>
      <w:r w:rsidR="00A001EF">
        <w:rPr>
          <w:sz w:val="24"/>
          <w:szCs w:val="24"/>
        </w:rPr>
        <w:t>, which given the platform’s incentives to maximise profits, was often lacklustre</w:t>
      </w:r>
      <w:r>
        <w:rPr>
          <w:sz w:val="24"/>
          <w:szCs w:val="24"/>
        </w:rPr>
        <w:t>.</w:t>
      </w:r>
      <w:r>
        <w:rPr>
          <w:rStyle w:val="FootnoteReference"/>
          <w:sz w:val="24"/>
          <w:szCs w:val="24"/>
        </w:rPr>
        <w:footnoteReference w:id="15"/>
      </w:r>
      <w:r w:rsidR="00B83905">
        <w:rPr>
          <w:sz w:val="24"/>
          <w:szCs w:val="24"/>
        </w:rPr>
        <w:t xml:space="preserve"> </w:t>
      </w:r>
      <w:r w:rsidR="006C527B">
        <w:rPr>
          <w:sz w:val="24"/>
          <w:szCs w:val="24"/>
        </w:rPr>
        <w:t xml:space="preserve">All in all, what emerges </w:t>
      </w:r>
      <w:r w:rsidR="00A001EF">
        <w:rPr>
          <w:sz w:val="24"/>
          <w:szCs w:val="24"/>
        </w:rPr>
        <w:t>is a piecemeal or patchwork legal framework for VSPs, where a heavy emphasis is on self-regulation and legal immunity under the E-Commerce Directive.</w:t>
      </w:r>
    </w:p>
    <w:p w14:paraId="7447E34C" w14:textId="05B25003" w:rsidR="002229A5" w:rsidRDefault="00834256" w:rsidP="003448F7">
      <w:pPr>
        <w:spacing w:line="360" w:lineRule="auto"/>
        <w:jc w:val="both"/>
        <w:rPr>
          <w:sz w:val="24"/>
          <w:szCs w:val="24"/>
        </w:rPr>
      </w:pPr>
      <w:r>
        <w:rPr>
          <w:sz w:val="24"/>
          <w:szCs w:val="24"/>
        </w:rPr>
        <w:t xml:space="preserve">While regulation </w:t>
      </w:r>
      <w:r w:rsidR="00303C88">
        <w:rPr>
          <w:sz w:val="24"/>
          <w:szCs w:val="24"/>
        </w:rPr>
        <w:t>struggled</w:t>
      </w:r>
      <w:r>
        <w:rPr>
          <w:sz w:val="24"/>
          <w:szCs w:val="24"/>
        </w:rPr>
        <w:t xml:space="preserve"> to keep up with the pace of technological development, digital media </w:t>
      </w:r>
      <w:r w:rsidR="00303C88">
        <w:rPr>
          <w:sz w:val="24"/>
          <w:szCs w:val="24"/>
        </w:rPr>
        <w:t xml:space="preserve">became widespread </w:t>
      </w:r>
      <w:r w:rsidR="00BA7873">
        <w:rPr>
          <w:sz w:val="24"/>
          <w:szCs w:val="24"/>
        </w:rPr>
        <w:t>and it</w:t>
      </w:r>
      <w:r w:rsidR="00303C88">
        <w:rPr>
          <w:sz w:val="24"/>
          <w:szCs w:val="24"/>
        </w:rPr>
        <w:t xml:space="preserve"> quickly overt</w:t>
      </w:r>
      <w:r w:rsidR="00BA7873">
        <w:rPr>
          <w:sz w:val="24"/>
          <w:szCs w:val="24"/>
        </w:rPr>
        <w:t>ook</w:t>
      </w:r>
      <w:r w:rsidR="00303C88">
        <w:rPr>
          <w:sz w:val="24"/>
          <w:szCs w:val="24"/>
        </w:rPr>
        <w:t xml:space="preserve"> traditional broadcasting and audiovisual media forms as a source of news content.</w:t>
      </w:r>
      <w:r w:rsidR="00303C88">
        <w:rPr>
          <w:rStyle w:val="FootnoteReference"/>
          <w:sz w:val="24"/>
          <w:szCs w:val="24"/>
        </w:rPr>
        <w:footnoteReference w:id="16"/>
      </w:r>
      <w:r w:rsidR="00781C90">
        <w:rPr>
          <w:sz w:val="24"/>
          <w:szCs w:val="24"/>
        </w:rPr>
        <w:t xml:space="preserve"> In response to the growing </w:t>
      </w:r>
      <w:r w:rsidR="00781C90" w:rsidRPr="00455883">
        <w:rPr>
          <w:sz w:val="24"/>
          <w:szCs w:val="24"/>
        </w:rPr>
        <w:t xml:space="preserve">power of VSPs and online content in the media landscape, the Commission announced </w:t>
      </w:r>
      <w:r w:rsidR="007C6AFB" w:rsidRPr="00455883">
        <w:rPr>
          <w:sz w:val="24"/>
          <w:szCs w:val="24"/>
        </w:rPr>
        <w:t>plans to reform</w:t>
      </w:r>
      <w:r w:rsidR="007C6AFB">
        <w:rPr>
          <w:sz w:val="24"/>
          <w:szCs w:val="24"/>
        </w:rPr>
        <w:t xml:space="preserve"> the media regulation framework to bring these platforms into the regulatory fold.</w:t>
      </w:r>
      <w:r w:rsidR="007C6AFB">
        <w:rPr>
          <w:rStyle w:val="FootnoteReference"/>
          <w:sz w:val="24"/>
          <w:szCs w:val="24"/>
        </w:rPr>
        <w:footnoteReference w:id="17"/>
      </w:r>
      <w:r w:rsidR="007C6AFB">
        <w:rPr>
          <w:sz w:val="24"/>
          <w:szCs w:val="24"/>
        </w:rPr>
        <w:t xml:space="preserve"> </w:t>
      </w:r>
      <w:r w:rsidR="006C527B">
        <w:rPr>
          <w:sz w:val="24"/>
          <w:szCs w:val="24"/>
        </w:rPr>
        <w:t xml:space="preserve">Thus, in </w:t>
      </w:r>
      <w:r w:rsidR="00A35019">
        <w:rPr>
          <w:sz w:val="24"/>
          <w:szCs w:val="24"/>
        </w:rPr>
        <w:t xml:space="preserve">2018 the text of the revised Directive was approved and Member States were given until September 2020 to transpose. As of the time of writing in 2022, several states are yet to implement the </w:t>
      </w:r>
      <w:r w:rsidR="00CA1BB1">
        <w:rPr>
          <w:sz w:val="24"/>
          <w:szCs w:val="24"/>
        </w:rPr>
        <w:t>AVMSD</w:t>
      </w:r>
      <w:r w:rsidR="00A35019">
        <w:rPr>
          <w:sz w:val="24"/>
          <w:szCs w:val="24"/>
        </w:rPr>
        <w:t>.</w:t>
      </w:r>
      <w:r w:rsidR="00A35019">
        <w:rPr>
          <w:rStyle w:val="FootnoteReference"/>
          <w:sz w:val="24"/>
          <w:szCs w:val="24"/>
        </w:rPr>
        <w:footnoteReference w:id="18"/>
      </w:r>
    </w:p>
    <w:p w14:paraId="74F0D36F" w14:textId="235C96E5" w:rsidR="00303C88" w:rsidRDefault="00804D9C" w:rsidP="003448F7">
      <w:pPr>
        <w:spacing w:line="360" w:lineRule="auto"/>
        <w:jc w:val="both"/>
        <w:rPr>
          <w:sz w:val="24"/>
          <w:szCs w:val="24"/>
        </w:rPr>
      </w:pPr>
      <w:r>
        <w:rPr>
          <w:sz w:val="24"/>
          <w:szCs w:val="24"/>
        </w:rPr>
        <w:t xml:space="preserve">Highlighting the background </w:t>
      </w:r>
      <w:r w:rsidR="006A342A">
        <w:rPr>
          <w:sz w:val="24"/>
          <w:szCs w:val="24"/>
        </w:rPr>
        <w:t xml:space="preserve">to the </w:t>
      </w:r>
      <w:r w:rsidR="00CA1BB1">
        <w:rPr>
          <w:sz w:val="24"/>
          <w:szCs w:val="24"/>
        </w:rPr>
        <w:t>AVMSD</w:t>
      </w:r>
      <w:r w:rsidR="006A342A">
        <w:rPr>
          <w:sz w:val="24"/>
          <w:szCs w:val="24"/>
        </w:rPr>
        <w:t xml:space="preserve"> helps to put the amendments into sharp relief while also exposing the balancing act at the heart of the Directive. </w:t>
      </w:r>
      <w:r>
        <w:rPr>
          <w:sz w:val="24"/>
          <w:szCs w:val="24"/>
        </w:rPr>
        <w:t xml:space="preserve">The key balance that the Directive has tried to strike is between maintaining the traditional liability exemptions afforded under the E-Commerce Directive while also trying to </w:t>
      </w:r>
      <w:r w:rsidR="006A342A">
        <w:rPr>
          <w:sz w:val="24"/>
          <w:szCs w:val="24"/>
        </w:rPr>
        <w:t xml:space="preserve">improve safeguards for users. In doing so, the Directive eschews ex-ante moderation in favour of ex-post reporting functions that </w:t>
      </w:r>
      <w:r w:rsidR="006A342A">
        <w:rPr>
          <w:sz w:val="24"/>
          <w:szCs w:val="24"/>
        </w:rPr>
        <w:lastRenderedPageBreak/>
        <w:t>avoid proactive filtering of user-generated content.</w:t>
      </w:r>
      <w:r w:rsidR="006A342A">
        <w:rPr>
          <w:rStyle w:val="FootnoteReference"/>
          <w:sz w:val="24"/>
          <w:szCs w:val="24"/>
        </w:rPr>
        <w:footnoteReference w:id="19"/>
      </w:r>
      <w:r w:rsidR="00A001EF">
        <w:rPr>
          <w:sz w:val="24"/>
          <w:szCs w:val="24"/>
        </w:rPr>
        <w:t xml:space="preserve"> In a sense, the </w:t>
      </w:r>
      <w:r w:rsidR="00CA1BB1">
        <w:rPr>
          <w:sz w:val="24"/>
          <w:szCs w:val="24"/>
        </w:rPr>
        <w:t>AVMSD</w:t>
      </w:r>
      <w:r w:rsidR="00A001EF">
        <w:rPr>
          <w:sz w:val="24"/>
          <w:szCs w:val="24"/>
        </w:rPr>
        <w:t xml:space="preserve"> represents a qualification to safe harbour principles for VSPs, reflecting similar </w:t>
      </w:r>
      <w:r w:rsidR="00455883">
        <w:rPr>
          <w:sz w:val="24"/>
          <w:szCs w:val="24"/>
        </w:rPr>
        <w:t>trends</w:t>
      </w:r>
      <w:r w:rsidR="00A001EF">
        <w:rPr>
          <w:sz w:val="24"/>
          <w:szCs w:val="24"/>
        </w:rPr>
        <w:t xml:space="preserve"> across other pieces of EU legislation in the area.</w:t>
      </w:r>
      <w:r w:rsidR="00A001EF">
        <w:rPr>
          <w:rStyle w:val="FootnoteReference"/>
          <w:sz w:val="24"/>
          <w:szCs w:val="24"/>
        </w:rPr>
        <w:footnoteReference w:id="20"/>
      </w:r>
      <w:r w:rsidR="006C527B">
        <w:rPr>
          <w:sz w:val="24"/>
          <w:szCs w:val="24"/>
        </w:rPr>
        <w:t xml:space="preserve"> Furthermore, the previous regime under the 2010 Directive can arguably be described as piecemeal and disparate, with VSPs subject to multiple varying obligations across a number of directives and regulatory instruments. Alongside this situation, the threat of market divergence was very real, with Member States increasingly seeking to </w:t>
      </w:r>
      <w:r w:rsidR="00A001EF">
        <w:rPr>
          <w:sz w:val="24"/>
          <w:szCs w:val="24"/>
        </w:rPr>
        <w:t>regulate VSPs on their own terms. Overall, it is submitted that in this context, the AVMS revision was clearly needed and very much welcomed, both from a platform and user perspective.</w:t>
      </w:r>
      <w:r w:rsidR="00455883">
        <w:rPr>
          <w:sz w:val="24"/>
          <w:szCs w:val="24"/>
        </w:rPr>
        <w:t xml:space="preserve"> </w:t>
      </w:r>
      <w:r w:rsidR="006C527B">
        <w:rPr>
          <w:sz w:val="24"/>
          <w:szCs w:val="24"/>
        </w:rPr>
        <w:t xml:space="preserve">Moving now to examine the scope and substantive provisions of the revised Directive, </w:t>
      </w:r>
      <w:r w:rsidR="00455883">
        <w:rPr>
          <w:sz w:val="24"/>
          <w:szCs w:val="24"/>
        </w:rPr>
        <w:t>the differences between the old and new regimes becomes clear.</w:t>
      </w:r>
    </w:p>
    <w:p w14:paraId="64661672" w14:textId="34A434BE" w:rsidR="00303C88" w:rsidRPr="00093E9C" w:rsidRDefault="00303C88" w:rsidP="003448F7">
      <w:pPr>
        <w:spacing w:line="360" w:lineRule="auto"/>
        <w:jc w:val="center"/>
        <w:rPr>
          <w:b/>
          <w:bCs/>
          <w:sz w:val="24"/>
          <w:szCs w:val="24"/>
        </w:rPr>
      </w:pPr>
      <w:r w:rsidRPr="00093E9C">
        <w:rPr>
          <w:b/>
          <w:bCs/>
          <w:sz w:val="24"/>
          <w:szCs w:val="24"/>
        </w:rPr>
        <w:t>P</w:t>
      </w:r>
      <w:r w:rsidR="00A35019">
        <w:rPr>
          <w:b/>
          <w:bCs/>
          <w:sz w:val="24"/>
          <w:szCs w:val="24"/>
        </w:rPr>
        <w:t>art</w:t>
      </w:r>
      <w:r w:rsidRPr="00093E9C">
        <w:rPr>
          <w:b/>
          <w:bCs/>
          <w:sz w:val="24"/>
          <w:szCs w:val="24"/>
        </w:rPr>
        <w:t xml:space="preserve"> II: Setting Boundaries – The Scope of the </w:t>
      </w:r>
      <w:r w:rsidR="00CA1BB1">
        <w:rPr>
          <w:b/>
          <w:bCs/>
          <w:sz w:val="24"/>
          <w:szCs w:val="24"/>
        </w:rPr>
        <w:t>AVMSD</w:t>
      </w:r>
    </w:p>
    <w:p w14:paraId="73F85058" w14:textId="417457FF" w:rsidR="00303C88" w:rsidRDefault="00303C88" w:rsidP="003448F7">
      <w:pPr>
        <w:spacing w:line="360" w:lineRule="auto"/>
        <w:jc w:val="both"/>
        <w:rPr>
          <w:sz w:val="24"/>
          <w:szCs w:val="24"/>
        </w:rPr>
      </w:pPr>
      <w:r>
        <w:rPr>
          <w:sz w:val="24"/>
          <w:szCs w:val="24"/>
        </w:rPr>
        <w:t>One of the core reasons that VSPs were left unregulated under the previous AVMS regime was the difficulty in defining what kind of online services and platforms would fall under the definition of audiovisual media services.</w:t>
      </w:r>
      <w:r>
        <w:rPr>
          <w:rStyle w:val="FootnoteReference"/>
          <w:sz w:val="24"/>
          <w:szCs w:val="24"/>
        </w:rPr>
        <w:footnoteReference w:id="21"/>
      </w:r>
      <w:r>
        <w:rPr>
          <w:sz w:val="24"/>
          <w:szCs w:val="24"/>
        </w:rPr>
        <w:t xml:space="preserve"> Indeed, </w:t>
      </w:r>
      <w:r w:rsidR="00155569">
        <w:rPr>
          <w:sz w:val="24"/>
          <w:szCs w:val="24"/>
        </w:rPr>
        <w:t>this is still a problem for large online platforms who may host a whole range of content, creating uncertainty as to which kinds of services fall within the scope of the Directive. Thus, it is worth e</w:t>
      </w:r>
      <w:r w:rsidR="005B63EB">
        <w:rPr>
          <w:sz w:val="24"/>
          <w:szCs w:val="24"/>
        </w:rPr>
        <w:t xml:space="preserve">ngaging in a textual analysis of </w:t>
      </w:r>
      <w:r w:rsidR="00155569">
        <w:rPr>
          <w:sz w:val="24"/>
          <w:szCs w:val="24"/>
        </w:rPr>
        <w:t xml:space="preserve">the definition in order to ground later discussions with a practical understanding of what kinds of services will be caught under the definition of VSP. </w:t>
      </w:r>
    </w:p>
    <w:p w14:paraId="0B077D04" w14:textId="72FEB860" w:rsidR="001A2300" w:rsidRDefault="001A2300" w:rsidP="003448F7">
      <w:pPr>
        <w:spacing w:line="360" w:lineRule="auto"/>
        <w:jc w:val="both"/>
        <w:rPr>
          <w:sz w:val="24"/>
          <w:szCs w:val="24"/>
        </w:rPr>
      </w:pPr>
      <w:r>
        <w:rPr>
          <w:sz w:val="24"/>
          <w:szCs w:val="24"/>
        </w:rPr>
        <w:t xml:space="preserve">Under Article 1(aa), the </w:t>
      </w:r>
      <w:r w:rsidR="00CA1BB1">
        <w:rPr>
          <w:sz w:val="24"/>
          <w:szCs w:val="24"/>
        </w:rPr>
        <w:t>AVMSD</w:t>
      </w:r>
      <w:r>
        <w:rPr>
          <w:sz w:val="24"/>
          <w:szCs w:val="24"/>
        </w:rPr>
        <w:t xml:space="preserve"> defines VSPs as follows:</w:t>
      </w:r>
    </w:p>
    <w:p w14:paraId="5265683C" w14:textId="4B4F645B" w:rsidR="002229A5" w:rsidRPr="00BC10A5" w:rsidRDefault="001A2300" w:rsidP="003448F7">
      <w:pPr>
        <w:spacing w:line="360" w:lineRule="auto"/>
        <w:ind w:left="720"/>
        <w:jc w:val="both"/>
        <w:rPr>
          <w:i/>
          <w:iCs/>
          <w:sz w:val="24"/>
          <w:szCs w:val="24"/>
        </w:rPr>
      </w:pPr>
      <w:r w:rsidRPr="001A2300">
        <w:rPr>
          <w:i/>
          <w:iCs/>
          <w:sz w:val="24"/>
          <w:szCs w:val="24"/>
        </w:rPr>
        <w:t xml:space="preserve">a service as defined by Articles 56 and 57 of the Treaty on the Functioning of the European Union, where the principal purpose of the service or of a dissociable section thereof or an essential functionality of the service is devoted to providing programmes, user-generated videos, or both, to the general public, for which the video-sharing platform provider does not have editorial responsibility, in order to inform, entertain or educate, by means of electronic communications networks within the meaning of point (a) of Article 2 of Directive 2002/21/EC and the organisation of which is </w:t>
      </w:r>
      <w:r w:rsidRPr="001A2300">
        <w:rPr>
          <w:i/>
          <w:iCs/>
          <w:sz w:val="24"/>
          <w:szCs w:val="24"/>
        </w:rPr>
        <w:lastRenderedPageBreak/>
        <w:t>determined by the video-sharing platform provider, including by automatic means or algorithms in particular by displaying, tagging and sequencing.</w:t>
      </w:r>
      <w:r>
        <w:rPr>
          <w:rStyle w:val="FootnoteReference"/>
          <w:i/>
          <w:iCs/>
          <w:sz w:val="24"/>
          <w:szCs w:val="24"/>
        </w:rPr>
        <w:footnoteReference w:id="22"/>
      </w:r>
    </w:p>
    <w:p w14:paraId="63F56C5C" w14:textId="17EBD289" w:rsidR="00172474" w:rsidRPr="009B2A0F" w:rsidRDefault="00D35739" w:rsidP="003448F7">
      <w:pPr>
        <w:spacing w:line="360" w:lineRule="auto"/>
        <w:jc w:val="both"/>
        <w:rPr>
          <w:sz w:val="24"/>
          <w:szCs w:val="24"/>
        </w:rPr>
      </w:pPr>
      <w:r>
        <w:rPr>
          <w:sz w:val="24"/>
          <w:szCs w:val="24"/>
        </w:rPr>
        <w:t>As can be observed, t</w:t>
      </w:r>
      <w:r w:rsidR="00453D98">
        <w:rPr>
          <w:sz w:val="24"/>
          <w:szCs w:val="24"/>
        </w:rPr>
        <w:t xml:space="preserve">he legislative scope of the </w:t>
      </w:r>
      <w:r w:rsidR="00CA1BB1">
        <w:rPr>
          <w:sz w:val="24"/>
          <w:szCs w:val="24"/>
        </w:rPr>
        <w:t>AVMSD</w:t>
      </w:r>
      <w:r w:rsidR="00453D98" w:rsidRPr="00A47EE1">
        <w:rPr>
          <w:sz w:val="24"/>
          <w:szCs w:val="24"/>
        </w:rPr>
        <w:t xml:space="preserve"> is nuanced. </w:t>
      </w:r>
      <w:r w:rsidR="00BC10A5" w:rsidRPr="00A47EE1">
        <w:rPr>
          <w:sz w:val="24"/>
          <w:szCs w:val="24"/>
        </w:rPr>
        <w:t>The</w:t>
      </w:r>
      <w:r w:rsidR="00BC10A5">
        <w:rPr>
          <w:sz w:val="24"/>
          <w:szCs w:val="24"/>
        </w:rPr>
        <w:t xml:space="preserve"> definition makes clear that </w:t>
      </w:r>
      <w:r w:rsidR="00363870">
        <w:rPr>
          <w:sz w:val="24"/>
          <w:szCs w:val="24"/>
        </w:rPr>
        <w:t xml:space="preserve">services </w:t>
      </w:r>
      <w:r w:rsidR="00CA45A7">
        <w:rPr>
          <w:sz w:val="24"/>
          <w:szCs w:val="24"/>
        </w:rPr>
        <w:t>must be remunerated</w:t>
      </w:r>
      <w:r w:rsidR="00DC339D">
        <w:rPr>
          <w:rStyle w:val="FootnoteReference"/>
          <w:sz w:val="24"/>
          <w:szCs w:val="24"/>
        </w:rPr>
        <w:footnoteReference w:id="23"/>
      </w:r>
      <w:r w:rsidR="00CA45A7">
        <w:rPr>
          <w:sz w:val="24"/>
          <w:szCs w:val="24"/>
        </w:rPr>
        <w:t xml:space="preserve"> and the requirement to entertain, inform or educate excludes purely commercial content, in line with established jurisprudence.</w:t>
      </w:r>
      <w:r w:rsidR="00CA45A7">
        <w:rPr>
          <w:rStyle w:val="FootnoteReference"/>
          <w:sz w:val="24"/>
          <w:szCs w:val="24"/>
        </w:rPr>
        <w:footnoteReference w:id="24"/>
      </w:r>
      <w:r w:rsidR="00DC339D">
        <w:rPr>
          <w:sz w:val="24"/>
          <w:szCs w:val="24"/>
        </w:rPr>
        <w:t xml:space="preserve"> The definition introduces two key tests. Firstly, is the principal purpose test, which essentially evaluates </w:t>
      </w:r>
      <w:r w:rsidR="00DC71B8">
        <w:rPr>
          <w:sz w:val="24"/>
          <w:szCs w:val="24"/>
        </w:rPr>
        <w:t>what role audiovisual content plays on the service, is not especially clear requiring a nuanced view.</w:t>
      </w:r>
      <w:r w:rsidR="00DC71B8">
        <w:rPr>
          <w:rStyle w:val="FootnoteReference"/>
          <w:sz w:val="24"/>
          <w:szCs w:val="24"/>
        </w:rPr>
        <w:footnoteReference w:id="25"/>
      </w:r>
      <w:r w:rsidR="00DC71B8">
        <w:rPr>
          <w:sz w:val="24"/>
          <w:szCs w:val="24"/>
        </w:rPr>
        <w:t xml:space="preserve"> A 2019 UK report </w:t>
      </w:r>
      <w:r w:rsidR="00A1487F">
        <w:rPr>
          <w:sz w:val="24"/>
          <w:szCs w:val="24"/>
        </w:rPr>
        <w:t>examined th</w:t>
      </w:r>
      <w:r w:rsidR="00DC71B8">
        <w:rPr>
          <w:sz w:val="24"/>
          <w:szCs w:val="24"/>
        </w:rPr>
        <w:t>at test</w:t>
      </w:r>
      <w:r w:rsidR="00A1487F">
        <w:rPr>
          <w:sz w:val="24"/>
          <w:szCs w:val="24"/>
        </w:rPr>
        <w:t xml:space="preserve"> in a 2019 report which illustrated the differing ways in which services could be captured.</w:t>
      </w:r>
      <w:r w:rsidR="00A1487F">
        <w:rPr>
          <w:rStyle w:val="FootnoteReference"/>
          <w:sz w:val="24"/>
          <w:szCs w:val="24"/>
        </w:rPr>
        <w:footnoteReference w:id="26"/>
      </w:r>
      <w:r w:rsidR="00A1487F">
        <w:rPr>
          <w:sz w:val="24"/>
          <w:szCs w:val="24"/>
        </w:rPr>
        <w:t xml:space="preserve"> For instance, it suggests that T</w:t>
      </w:r>
      <w:r w:rsidR="00BE0992">
        <w:rPr>
          <w:sz w:val="24"/>
          <w:szCs w:val="24"/>
        </w:rPr>
        <w:t>ikTok</w:t>
      </w:r>
      <w:r w:rsidR="00A1487F">
        <w:rPr>
          <w:sz w:val="24"/>
          <w:szCs w:val="24"/>
        </w:rPr>
        <w:t xml:space="preserve">’s principal purpose is video-sharing; Vimeo’s dissociable section of its service is video sharing; while Snapchat has video-sharing as an essential functionality but not its principal purpose nor as a dissociable section of its service. </w:t>
      </w:r>
      <w:r w:rsidR="00E1427E">
        <w:rPr>
          <w:sz w:val="24"/>
          <w:szCs w:val="24"/>
        </w:rPr>
        <w:t xml:space="preserve">This points to the expansive and nuanced approach that the Directive takes toward identifying which services are likely to constitute VSPs. </w:t>
      </w:r>
      <w:r w:rsidR="00DC71B8">
        <w:rPr>
          <w:sz w:val="24"/>
          <w:szCs w:val="24"/>
        </w:rPr>
        <w:t>Practically, it will be for regulators to follow ERGA and Commission guideline</w:t>
      </w:r>
      <w:r w:rsidR="00C021E2">
        <w:rPr>
          <w:sz w:val="24"/>
          <w:szCs w:val="24"/>
        </w:rPr>
        <w:t>s</w:t>
      </w:r>
      <w:r w:rsidR="00D8097F">
        <w:rPr>
          <w:rStyle w:val="FootnoteReference"/>
          <w:sz w:val="24"/>
          <w:szCs w:val="24"/>
        </w:rPr>
        <w:footnoteReference w:id="27"/>
      </w:r>
      <w:r w:rsidR="00DC71B8">
        <w:rPr>
          <w:sz w:val="24"/>
          <w:szCs w:val="24"/>
        </w:rPr>
        <w:t xml:space="preserve"> for assessing these services and how audiovisual content is used in their platforms.</w:t>
      </w:r>
      <w:r w:rsidR="009B2A0F">
        <w:rPr>
          <w:sz w:val="24"/>
          <w:szCs w:val="24"/>
        </w:rPr>
        <w:t xml:space="preserve"> The second test relates to the level of editorial control that is exercised by the service. Unlike an on-demand service or a traditional broadcaster, which exercises control over content via its schedules etc., a VSP instead ‘organises’ its content with no editorial control.</w:t>
      </w:r>
      <w:r w:rsidR="009B2A0F">
        <w:rPr>
          <w:rStyle w:val="FootnoteReference"/>
          <w:sz w:val="24"/>
          <w:szCs w:val="24"/>
        </w:rPr>
        <w:footnoteReference w:id="28"/>
      </w:r>
      <w:r w:rsidR="009B2A0F">
        <w:rPr>
          <w:sz w:val="24"/>
          <w:szCs w:val="24"/>
        </w:rPr>
        <w:t xml:space="preserve"> </w:t>
      </w:r>
    </w:p>
    <w:p w14:paraId="5CE25AC5" w14:textId="0F682B3F" w:rsidR="00DB7017" w:rsidRPr="009C666F" w:rsidRDefault="00DB7017" w:rsidP="003448F7">
      <w:pPr>
        <w:spacing w:line="360" w:lineRule="auto"/>
        <w:jc w:val="both"/>
        <w:rPr>
          <w:sz w:val="24"/>
          <w:szCs w:val="24"/>
          <w:highlight w:val="yellow"/>
        </w:rPr>
      </w:pPr>
      <w:r w:rsidRPr="00A47EE1">
        <w:rPr>
          <w:sz w:val="24"/>
          <w:szCs w:val="24"/>
        </w:rPr>
        <w:t xml:space="preserve">Sogan notes that the definition’s complexity increases the risk for divergent cross-border regulatory approaches and further criticises the lack of precision in relation </w:t>
      </w:r>
      <w:r w:rsidR="009C7E6A" w:rsidRPr="00A47EE1">
        <w:rPr>
          <w:sz w:val="24"/>
          <w:szCs w:val="24"/>
        </w:rPr>
        <w:t>to mixed-function platforms.</w:t>
      </w:r>
      <w:r w:rsidR="009C7E6A" w:rsidRPr="00A47EE1">
        <w:rPr>
          <w:rStyle w:val="FootnoteReference"/>
          <w:sz w:val="24"/>
          <w:szCs w:val="24"/>
        </w:rPr>
        <w:footnoteReference w:id="29"/>
      </w:r>
      <w:r w:rsidR="009C666F" w:rsidRPr="00A47EE1">
        <w:rPr>
          <w:sz w:val="24"/>
          <w:szCs w:val="24"/>
        </w:rPr>
        <w:t xml:space="preserve"> </w:t>
      </w:r>
      <w:r w:rsidRPr="00A47EE1">
        <w:rPr>
          <w:sz w:val="24"/>
          <w:szCs w:val="24"/>
        </w:rPr>
        <w:t xml:space="preserve">However, the Commission has released guidance as to how </w:t>
      </w:r>
      <w:r w:rsidR="00C239FB" w:rsidRPr="00A47EE1">
        <w:rPr>
          <w:sz w:val="24"/>
          <w:szCs w:val="24"/>
        </w:rPr>
        <w:t>the concept of VSP is to be applied and what kin</w:t>
      </w:r>
      <w:r w:rsidR="00796B4F">
        <w:rPr>
          <w:sz w:val="24"/>
          <w:szCs w:val="24"/>
        </w:rPr>
        <w:t>d</w:t>
      </w:r>
      <w:r w:rsidR="00C239FB" w:rsidRPr="00A47EE1">
        <w:rPr>
          <w:sz w:val="24"/>
          <w:szCs w:val="24"/>
        </w:rPr>
        <w:t>s of services will be caught by it</w:t>
      </w:r>
      <w:r w:rsidR="009C666F" w:rsidRPr="00A47EE1">
        <w:rPr>
          <w:sz w:val="24"/>
          <w:szCs w:val="24"/>
        </w:rPr>
        <w:t xml:space="preserve"> which aims to clarify the scope of the definition.</w:t>
      </w:r>
      <w:r w:rsidR="009C666F" w:rsidRPr="00A47EE1">
        <w:rPr>
          <w:rStyle w:val="FootnoteReference"/>
          <w:sz w:val="24"/>
          <w:szCs w:val="24"/>
        </w:rPr>
        <w:footnoteReference w:id="30"/>
      </w:r>
      <w:r w:rsidR="009C666F" w:rsidRPr="00A47EE1">
        <w:rPr>
          <w:sz w:val="24"/>
          <w:szCs w:val="24"/>
        </w:rPr>
        <w:t xml:space="preserve"> </w:t>
      </w:r>
      <w:r w:rsidRPr="00A47EE1">
        <w:rPr>
          <w:sz w:val="24"/>
          <w:szCs w:val="24"/>
        </w:rPr>
        <w:t>Furthermore</w:t>
      </w:r>
      <w:r>
        <w:rPr>
          <w:sz w:val="24"/>
          <w:szCs w:val="24"/>
        </w:rPr>
        <w:t>, national regulators have also indicated their approach to assessing whether a service can be considered a VSP</w:t>
      </w:r>
      <w:r w:rsidR="00A70674">
        <w:rPr>
          <w:sz w:val="24"/>
          <w:szCs w:val="24"/>
        </w:rPr>
        <w:t xml:space="preserve">. </w:t>
      </w:r>
      <w:r>
        <w:rPr>
          <w:sz w:val="24"/>
          <w:szCs w:val="24"/>
        </w:rPr>
        <w:t xml:space="preserve">The Broadcasting Authority of Ireland </w:t>
      </w:r>
      <w:r>
        <w:rPr>
          <w:sz w:val="24"/>
          <w:szCs w:val="24"/>
        </w:rPr>
        <w:lastRenderedPageBreak/>
        <w:t xml:space="preserve">for example has produced a document outlining what approach it plans to take, identifying basic elements (i.e., </w:t>
      </w:r>
      <w:r w:rsidRPr="00DB7017">
        <w:rPr>
          <w:sz w:val="24"/>
          <w:szCs w:val="24"/>
        </w:rPr>
        <w:t>providing access to audiovisual content uploaded by users</w:t>
      </w:r>
      <w:r>
        <w:rPr>
          <w:sz w:val="24"/>
          <w:szCs w:val="24"/>
        </w:rPr>
        <w:t>) that will cause a service to automatically be considered a VSP.</w:t>
      </w:r>
      <w:r>
        <w:rPr>
          <w:rStyle w:val="FootnoteReference"/>
          <w:sz w:val="24"/>
          <w:szCs w:val="24"/>
        </w:rPr>
        <w:footnoteReference w:id="31"/>
      </w:r>
    </w:p>
    <w:p w14:paraId="581459FF" w14:textId="1861DBE1" w:rsidR="002229A5" w:rsidRDefault="00155569" w:rsidP="003448F7">
      <w:pPr>
        <w:spacing w:line="360" w:lineRule="auto"/>
        <w:jc w:val="both"/>
        <w:rPr>
          <w:sz w:val="24"/>
          <w:szCs w:val="24"/>
        </w:rPr>
      </w:pPr>
      <w:r>
        <w:rPr>
          <w:sz w:val="24"/>
          <w:szCs w:val="24"/>
        </w:rPr>
        <w:t>One</w:t>
      </w:r>
      <w:r w:rsidR="00DB7017">
        <w:rPr>
          <w:sz w:val="24"/>
          <w:szCs w:val="24"/>
        </w:rPr>
        <w:t xml:space="preserve"> other</w:t>
      </w:r>
      <w:r>
        <w:rPr>
          <w:sz w:val="24"/>
          <w:szCs w:val="24"/>
        </w:rPr>
        <w:t xml:space="preserve"> criticism of this definition is that i</w:t>
      </w:r>
      <w:r w:rsidR="00655B2A">
        <w:rPr>
          <w:sz w:val="24"/>
          <w:szCs w:val="24"/>
        </w:rPr>
        <w:t>t</w:t>
      </w:r>
      <w:r>
        <w:rPr>
          <w:sz w:val="24"/>
          <w:szCs w:val="24"/>
        </w:rPr>
        <w:t xml:space="preserve"> does not match with the other definitions of similar or indeed identical services in other key regulatory instruments, for instance the 2019 Copyright Directive.</w:t>
      </w:r>
      <w:r>
        <w:rPr>
          <w:rStyle w:val="FootnoteReference"/>
          <w:sz w:val="24"/>
          <w:szCs w:val="24"/>
        </w:rPr>
        <w:footnoteReference w:id="32"/>
      </w:r>
      <w:r>
        <w:rPr>
          <w:sz w:val="24"/>
          <w:szCs w:val="24"/>
        </w:rPr>
        <w:t xml:space="preserve"> In the Copyright Directive, services which </w:t>
      </w:r>
      <w:r w:rsidR="00D421BE">
        <w:rPr>
          <w:sz w:val="24"/>
          <w:szCs w:val="24"/>
        </w:rPr>
        <w:t xml:space="preserve">are considered VSPs under the </w:t>
      </w:r>
      <w:r w:rsidR="00CA1BB1">
        <w:rPr>
          <w:sz w:val="24"/>
          <w:szCs w:val="24"/>
        </w:rPr>
        <w:t>AVMSD</w:t>
      </w:r>
      <w:r w:rsidR="00D421BE">
        <w:rPr>
          <w:sz w:val="24"/>
          <w:szCs w:val="24"/>
        </w:rPr>
        <w:t xml:space="preserve"> are called ‘Online Content-Sharing Service Providers.’ While the argument could be made that definitional precision is preferable over the harmony of definitions, it is submitted that creating more overlap between definitions would have been helpful from a practical perspective, allowing for greater clarity and understanding. </w:t>
      </w:r>
    </w:p>
    <w:p w14:paraId="11E2A135" w14:textId="54E96AD4" w:rsidR="009B2A0F" w:rsidRPr="009B2A0F" w:rsidRDefault="009B2A0F" w:rsidP="003448F7">
      <w:pPr>
        <w:spacing w:line="360" w:lineRule="auto"/>
        <w:jc w:val="both"/>
        <w:rPr>
          <w:sz w:val="24"/>
          <w:szCs w:val="24"/>
        </w:rPr>
      </w:pPr>
      <w:r w:rsidRPr="009B2A0F">
        <w:rPr>
          <w:sz w:val="24"/>
          <w:szCs w:val="24"/>
        </w:rPr>
        <w:t>It</w:t>
      </w:r>
      <w:r w:rsidR="00382BDD">
        <w:rPr>
          <w:sz w:val="24"/>
          <w:szCs w:val="24"/>
        </w:rPr>
        <w:t xml:space="preserve"> is</w:t>
      </w:r>
      <w:r w:rsidRPr="009B2A0F">
        <w:rPr>
          <w:sz w:val="24"/>
          <w:szCs w:val="24"/>
        </w:rPr>
        <w:t xml:space="preserve"> also worth considering at this juncture how a VSP might come under the jurisdiction of a Member State once its status is established. A key provision is Article 28a, which sets out the rules governing a VSP’s jurisdiction. VSPs are considered to be established in a Member State in the same manner as under the E-Commerce Directive,</w:t>
      </w:r>
      <w:r w:rsidRPr="009B2A0F">
        <w:rPr>
          <w:rStyle w:val="FootnoteReference"/>
          <w:sz w:val="24"/>
          <w:szCs w:val="24"/>
        </w:rPr>
        <w:footnoteReference w:id="33"/>
      </w:r>
      <w:r w:rsidRPr="009B2A0F">
        <w:rPr>
          <w:sz w:val="24"/>
          <w:szCs w:val="24"/>
        </w:rPr>
        <w:t xml:space="preserve"> with parent under-takings and groups also being included,</w:t>
      </w:r>
      <w:r w:rsidRPr="009B2A0F">
        <w:rPr>
          <w:rStyle w:val="FootnoteReference"/>
          <w:sz w:val="24"/>
          <w:szCs w:val="24"/>
        </w:rPr>
        <w:footnoteReference w:id="34"/>
      </w:r>
      <w:r w:rsidRPr="009B2A0F">
        <w:rPr>
          <w:sz w:val="24"/>
          <w:szCs w:val="24"/>
        </w:rPr>
        <w:t xml:space="preserve"> something it is argued constitutes a broad scope. Member States are required to maintain a list of VSPs under their jurisdiction and communicate it to the Commission.</w:t>
      </w:r>
      <w:r w:rsidRPr="009B2A0F">
        <w:rPr>
          <w:rStyle w:val="FootnoteReference"/>
          <w:sz w:val="24"/>
          <w:szCs w:val="24"/>
        </w:rPr>
        <w:footnoteReference w:id="35"/>
      </w:r>
    </w:p>
    <w:p w14:paraId="222C2331" w14:textId="77FCDA84" w:rsidR="007D724C" w:rsidRDefault="007D724C" w:rsidP="003448F7">
      <w:pPr>
        <w:spacing w:line="360" w:lineRule="auto"/>
        <w:jc w:val="both"/>
        <w:rPr>
          <w:sz w:val="24"/>
          <w:szCs w:val="24"/>
        </w:rPr>
      </w:pPr>
      <w:r>
        <w:rPr>
          <w:sz w:val="24"/>
          <w:szCs w:val="24"/>
        </w:rPr>
        <w:t xml:space="preserve">It can be observed that the definition of a VSP is nuanced and broad. It is argued that the definition is targeted enough to capture key platforms while excluding ancillary services. Overall, this approach is reflective of the Directive’s ambitious aim at ending the regulatory void that surrounded </w:t>
      </w:r>
      <w:r w:rsidR="009B2A0F">
        <w:rPr>
          <w:sz w:val="24"/>
          <w:szCs w:val="24"/>
        </w:rPr>
        <w:t xml:space="preserve">VSPs prior to 2018. </w:t>
      </w:r>
      <w:r>
        <w:rPr>
          <w:sz w:val="24"/>
          <w:szCs w:val="24"/>
        </w:rPr>
        <w:t xml:space="preserve">It also acts as a key </w:t>
      </w:r>
      <w:r w:rsidRPr="007D724C">
        <w:rPr>
          <w:i/>
          <w:iCs/>
          <w:sz w:val="24"/>
          <w:szCs w:val="24"/>
        </w:rPr>
        <w:t>lex specialis</w:t>
      </w:r>
      <w:r>
        <w:rPr>
          <w:sz w:val="24"/>
          <w:szCs w:val="24"/>
        </w:rPr>
        <w:t xml:space="preserve"> to the E-Commerce Directive, thereby serving its purpose as a key pillar in the overall digital single market framework. With the scope and definition now set out, naturally the question </w:t>
      </w:r>
      <w:r w:rsidR="009B2A0F">
        <w:rPr>
          <w:sz w:val="24"/>
          <w:szCs w:val="24"/>
        </w:rPr>
        <w:t>arises</w:t>
      </w:r>
      <w:r>
        <w:rPr>
          <w:sz w:val="24"/>
          <w:szCs w:val="24"/>
        </w:rPr>
        <w:t xml:space="preserve">; what kind of regulation is </w:t>
      </w:r>
      <w:r w:rsidR="009B2A0F">
        <w:rPr>
          <w:sz w:val="24"/>
          <w:szCs w:val="24"/>
        </w:rPr>
        <w:t>applied to VSPs? This essay now moves to consider these provisions.</w:t>
      </w:r>
    </w:p>
    <w:p w14:paraId="277F6434" w14:textId="5D33D895" w:rsidR="002229A5" w:rsidRDefault="002229A5" w:rsidP="003448F7">
      <w:pPr>
        <w:spacing w:line="360" w:lineRule="auto"/>
        <w:jc w:val="both"/>
        <w:rPr>
          <w:sz w:val="24"/>
          <w:szCs w:val="24"/>
        </w:rPr>
      </w:pPr>
    </w:p>
    <w:p w14:paraId="2908C717" w14:textId="19C2FD6F" w:rsidR="002229A5" w:rsidRPr="00093E9C" w:rsidRDefault="001704AA" w:rsidP="003448F7">
      <w:pPr>
        <w:spacing w:line="360" w:lineRule="auto"/>
        <w:jc w:val="center"/>
        <w:rPr>
          <w:b/>
          <w:bCs/>
          <w:sz w:val="24"/>
          <w:szCs w:val="24"/>
        </w:rPr>
      </w:pPr>
      <w:r w:rsidRPr="00093E9C">
        <w:rPr>
          <w:b/>
          <w:bCs/>
          <w:sz w:val="24"/>
          <w:szCs w:val="24"/>
        </w:rPr>
        <w:t xml:space="preserve">PART III: </w:t>
      </w:r>
      <w:r w:rsidR="0089769F">
        <w:rPr>
          <w:b/>
          <w:bCs/>
          <w:sz w:val="24"/>
          <w:szCs w:val="24"/>
        </w:rPr>
        <w:t>Minimum Standards – Light-Touch Regulation for VSPs</w:t>
      </w:r>
    </w:p>
    <w:p w14:paraId="3F1E6BFD" w14:textId="3E162920" w:rsidR="004F02DD" w:rsidRDefault="00C239FB" w:rsidP="003448F7">
      <w:pPr>
        <w:spacing w:line="360" w:lineRule="auto"/>
        <w:jc w:val="both"/>
        <w:rPr>
          <w:sz w:val="24"/>
          <w:szCs w:val="24"/>
        </w:rPr>
      </w:pPr>
      <w:r>
        <w:rPr>
          <w:sz w:val="24"/>
          <w:szCs w:val="24"/>
        </w:rPr>
        <w:lastRenderedPageBreak/>
        <w:t xml:space="preserve">A core part of the 2018 revision was bringing VSPs into the regulatory </w:t>
      </w:r>
      <w:r w:rsidRPr="00D8097F">
        <w:rPr>
          <w:sz w:val="24"/>
          <w:szCs w:val="24"/>
        </w:rPr>
        <w:t xml:space="preserve">framework, as well as introducing minimum standards </w:t>
      </w:r>
      <w:r w:rsidR="0089769F" w:rsidRPr="00D8097F">
        <w:rPr>
          <w:sz w:val="24"/>
          <w:szCs w:val="24"/>
        </w:rPr>
        <w:t xml:space="preserve">across all </w:t>
      </w:r>
      <w:r w:rsidR="00AD4861" w:rsidRPr="00D8097F">
        <w:rPr>
          <w:sz w:val="24"/>
          <w:szCs w:val="24"/>
        </w:rPr>
        <w:t xml:space="preserve">forms of audiovisual media services. </w:t>
      </w:r>
      <w:r w:rsidR="008A5113" w:rsidRPr="00D8097F">
        <w:rPr>
          <w:sz w:val="24"/>
          <w:szCs w:val="24"/>
        </w:rPr>
        <w:t>In this</w:t>
      </w:r>
      <w:r w:rsidR="008A5113">
        <w:rPr>
          <w:sz w:val="24"/>
          <w:szCs w:val="24"/>
        </w:rPr>
        <w:t xml:space="preserve"> sense, the </w:t>
      </w:r>
      <w:r w:rsidR="00CA1BB1">
        <w:rPr>
          <w:sz w:val="24"/>
          <w:szCs w:val="24"/>
        </w:rPr>
        <w:t>AVMSD</w:t>
      </w:r>
      <w:r w:rsidR="008A5113">
        <w:rPr>
          <w:sz w:val="24"/>
          <w:szCs w:val="24"/>
        </w:rPr>
        <w:t xml:space="preserve"> acts as a qualification to the safe harbour principles, requiring action </w:t>
      </w:r>
      <w:r w:rsidR="00607445">
        <w:rPr>
          <w:sz w:val="24"/>
          <w:szCs w:val="24"/>
        </w:rPr>
        <w:t xml:space="preserve">while also maintaining the core liability exemption. </w:t>
      </w:r>
      <w:r w:rsidR="00363870">
        <w:rPr>
          <w:sz w:val="24"/>
          <w:szCs w:val="24"/>
        </w:rPr>
        <w:t xml:space="preserve">The </w:t>
      </w:r>
      <w:r w:rsidR="006E6097">
        <w:rPr>
          <w:sz w:val="24"/>
          <w:szCs w:val="24"/>
        </w:rPr>
        <w:t xml:space="preserve">content obligations </w:t>
      </w:r>
      <w:r w:rsidR="00363870">
        <w:rPr>
          <w:sz w:val="24"/>
          <w:szCs w:val="24"/>
        </w:rPr>
        <w:t>require VSPs to take appropriate measures to protect minors from content that may impair their development</w:t>
      </w:r>
      <w:r w:rsidR="006E6097">
        <w:rPr>
          <w:rStyle w:val="FootnoteReference"/>
          <w:sz w:val="24"/>
          <w:szCs w:val="24"/>
        </w:rPr>
        <w:footnoteReference w:id="36"/>
      </w:r>
      <w:r w:rsidR="00363870">
        <w:rPr>
          <w:sz w:val="24"/>
          <w:szCs w:val="24"/>
        </w:rPr>
        <w:t xml:space="preserve"> as well as the general public from incitement to hatred</w:t>
      </w:r>
      <w:r w:rsidR="006E6097">
        <w:rPr>
          <w:rStyle w:val="FootnoteReference"/>
          <w:sz w:val="24"/>
          <w:szCs w:val="24"/>
        </w:rPr>
        <w:footnoteReference w:id="37"/>
      </w:r>
      <w:r w:rsidR="00363870">
        <w:rPr>
          <w:sz w:val="24"/>
          <w:szCs w:val="24"/>
        </w:rPr>
        <w:t xml:space="preserve"> and criminal content such as child sexual abuse material or </w:t>
      </w:r>
      <w:r w:rsidR="006E6097">
        <w:rPr>
          <w:sz w:val="24"/>
          <w:szCs w:val="24"/>
        </w:rPr>
        <w:t>public provocation to commit a terrorist offence.</w:t>
      </w:r>
      <w:r w:rsidR="006E6097">
        <w:rPr>
          <w:rStyle w:val="FootnoteReference"/>
          <w:sz w:val="24"/>
          <w:szCs w:val="24"/>
        </w:rPr>
        <w:footnoteReference w:id="38"/>
      </w:r>
      <w:r w:rsidR="00A870E4">
        <w:rPr>
          <w:sz w:val="24"/>
          <w:szCs w:val="24"/>
        </w:rPr>
        <w:t xml:space="preserve"> </w:t>
      </w:r>
      <w:r w:rsidR="006E6097">
        <w:rPr>
          <w:sz w:val="24"/>
          <w:szCs w:val="24"/>
        </w:rPr>
        <w:t xml:space="preserve">The usage of the term ‘appropriate measures’ </w:t>
      </w:r>
      <w:r w:rsidR="00607445">
        <w:rPr>
          <w:sz w:val="24"/>
          <w:szCs w:val="24"/>
        </w:rPr>
        <w:t xml:space="preserve">suggests a range of actions and, indeed, </w:t>
      </w:r>
      <w:r w:rsidR="00A870E4">
        <w:rPr>
          <w:sz w:val="24"/>
          <w:szCs w:val="24"/>
        </w:rPr>
        <w:t>the Directive provides a number of examples as to what kind of actions are appropriate</w:t>
      </w:r>
      <w:r w:rsidR="007A7755">
        <w:rPr>
          <w:sz w:val="24"/>
          <w:szCs w:val="24"/>
        </w:rPr>
        <w:t xml:space="preserve"> ranging from implementations of the requirements within the platform’s terms of service</w:t>
      </w:r>
      <w:r w:rsidR="007A7755">
        <w:rPr>
          <w:rStyle w:val="FootnoteReference"/>
          <w:sz w:val="24"/>
          <w:szCs w:val="24"/>
        </w:rPr>
        <w:footnoteReference w:id="39"/>
      </w:r>
      <w:r w:rsidR="007A7755">
        <w:rPr>
          <w:sz w:val="24"/>
          <w:szCs w:val="24"/>
        </w:rPr>
        <w:t xml:space="preserve"> to flagging,</w:t>
      </w:r>
      <w:r w:rsidR="007A7755">
        <w:rPr>
          <w:rStyle w:val="FootnoteReference"/>
          <w:sz w:val="24"/>
          <w:szCs w:val="24"/>
        </w:rPr>
        <w:footnoteReference w:id="40"/>
      </w:r>
      <w:r w:rsidR="007A7755">
        <w:rPr>
          <w:sz w:val="24"/>
          <w:szCs w:val="24"/>
        </w:rPr>
        <w:t xml:space="preserve"> parental controls</w:t>
      </w:r>
      <w:r w:rsidR="007A7755">
        <w:rPr>
          <w:rStyle w:val="FootnoteReference"/>
          <w:sz w:val="24"/>
          <w:szCs w:val="24"/>
        </w:rPr>
        <w:footnoteReference w:id="41"/>
      </w:r>
      <w:r w:rsidR="007A7755">
        <w:rPr>
          <w:sz w:val="24"/>
          <w:szCs w:val="24"/>
        </w:rPr>
        <w:t xml:space="preserve"> and media literacy measures.</w:t>
      </w:r>
      <w:r w:rsidR="007A7755">
        <w:rPr>
          <w:rStyle w:val="FootnoteReference"/>
          <w:sz w:val="24"/>
          <w:szCs w:val="24"/>
        </w:rPr>
        <w:footnoteReference w:id="42"/>
      </w:r>
      <w:r w:rsidR="007A7755">
        <w:rPr>
          <w:sz w:val="24"/>
          <w:szCs w:val="24"/>
        </w:rPr>
        <w:t xml:space="preserve"> As can be observed, all of these measures aim to implement ex-post regulation of content while avoiding general monitoring.</w:t>
      </w:r>
    </w:p>
    <w:p w14:paraId="79A093FA" w14:textId="572DAE6B" w:rsidR="002229A5" w:rsidRDefault="00AD4861" w:rsidP="003448F7">
      <w:pPr>
        <w:spacing w:line="360" w:lineRule="auto"/>
        <w:jc w:val="both"/>
        <w:rPr>
          <w:sz w:val="24"/>
          <w:szCs w:val="24"/>
        </w:rPr>
      </w:pPr>
      <w:r>
        <w:rPr>
          <w:sz w:val="24"/>
          <w:szCs w:val="24"/>
        </w:rPr>
        <w:t xml:space="preserve">Commercial communications naturally play an important part of the audiovisual media environment and the digital world is no different. Indeed, </w:t>
      </w:r>
      <w:r w:rsidR="00F36070">
        <w:rPr>
          <w:sz w:val="24"/>
          <w:szCs w:val="24"/>
        </w:rPr>
        <w:t xml:space="preserve">advertising and sponsorship is arguably the driver of most VSPs, especially ‘free’ services like YouTube where users’ data is utilised to sell advertising. </w:t>
      </w:r>
      <w:r w:rsidR="00D35739">
        <w:rPr>
          <w:sz w:val="24"/>
          <w:szCs w:val="24"/>
        </w:rPr>
        <w:t>The Directive creates an important distinction in relation to commercial communications</w:t>
      </w:r>
      <w:r w:rsidR="0072417A">
        <w:rPr>
          <w:sz w:val="24"/>
          <w:szCs w:val="24"/>
        </w:rPr>
        <w:t>.</w:t>
      </w:r>
      <w:r w:rsidR="0072417A">
        <w:rPr>
          <w:rStyle w:val="FootnoteReference"/>
          <w:sz w:val="24"/>
          <w:szCs w:val="24"/>
        </w:rPr>
        <w:footnoteReference w:id="43"/>
      </w:r>
      <w:r w:rsidR="0072417A">
        <w:rPr>
          <w:sz w:val="24"/>
          <w:szCs w:val="24"/>
        </w:rPr>
        <w:t xml:space="preserve"> It delineates between commercial communications that are carried out by the platform itself and those that are made </w:t>
      </w:r>
      <w:r w:rsidR="0072417A" w:rsidRPr="00CA1BB1">
        <w:rPr>
          <w:sz w:val="24"/>
          <w:szCs w:val="24"/>
        </w:rPr>
        <w:t xml:space="preserve">by the platform’s users. </w:t>
      </w:r>
      <w:r w:rsidR="00AE3B6B" w:rsidRPr="00CA1BB1">
        <w:rPr>
          <w:sz w:val="24"/>
          <w:szCs w:val="24"/>
        </w:rPr>
        <w:t>The nature of the obligations and their impact on users is discussed in detail in Part IV below.</w:t>
      </w:r>
      <w:r w:rsidR="007A7755" w:rsidRPr="00CA1BB1">
        <w:rPr>
          <w:sz w:val="24"/>
          <w:szCs w:val="24"/>
        </w:rPr>
        <w:t xml:space="preserve"> </w:t>
      </w:r>
      <w:r w:rsidR="00AE3B6B" w:rsidRPr="00CA1BB1">
        <w:rPr>
          <w:sz w:val="24"/>
          <w:szCs w:val="24"/>
        </w:rPr>
        <w:t xml:space="preserve">For the VSP itself, </w:t>
      </w:r>
      <w:r w:rsidR="000E6219" w:rsidRPr="00CA1BB1">
        <w:rPr>
          <w:sz w:val="24"/>
          <w:szCs w:val="24"/>
        </w:rPr>
        <w:t xml:space="preserve">its commercial communications must be consistent with </w:t>
      </w:r>
      <w:r w:rsidR="008A5113" w:rsidRPr="00CA1BB1">
        <w:rPr>
          <w:sz w:val="24"/>
          <w:szCs w:val="24"/>
        </w:rPr>
        <w:t xml:space="preserve">the rules set out under Article 9 of the Directive. </w:t>
      </w:r>
      <w:r w:rsidR="00787BE5" w:rsidRPr="00CA1BB1">
        <w:rPr>
          <w:sz w:val="24"/>
          <w:szCs w:val="24"/>
        </w:rPr>
        <w:t xml:space="preserve">This means, in essence, that </w:t>
      </w:r>
      <w:r w:rsidR="00A870E4" w:rsidRPr="00CA1BB1">
        <w:rPr>
          <w:sz w:val="24"/>
          <w:szCs w:val="24"/>
        </w:rPr>
        <w:t xml:space="preserve">those commercial communications must </w:t>
      </w:r>
      <w:r w:rsidR="00A70674" w:rsidRPr="00CA1BB1">
        <w:rPr>
          <w:sz w:val="24"/>
          <w:szCs w:val="24"/>
        </w:rPr>
        <w:t>include transparency rules for advertising, consumer protection rules around the advertising of alcohol, tobacco, medicines etc.</w:t>
      </w:r>
      <w:r w:rsidR="00A70674" w:rsidRPr="00CA1BB1">
        <w:rPr>
          <w:rStyle w:val="FootnoteReference"/>
          <w:sz w:val="24"/>
          <w:szCs w:val="24"/>
        </w:rPr>
        <w:footnoteReference w:id="44"/>
      </w:r>
      <w:r w:rsidR="00A70674" w:rsidRPr="00CA1BB1">
        <w:rPr>
          <w:sz w:val="24"/>
          <w:szCs w:val="24"/>
        </w:rPr>
        <w:t xml:space="preserve"> Another key provision is that VSPs will also</w:t>
      </w:r>
      <w:r w:rsidR="00A70674" w:rsidRPr="00A70674">
        <w:rPr>
          <w:sz w:val="24"/>
          <w:szCs w:val="24"/>
        </w:rPr>
        <w:t xml:space="preserve"> have to take appropriate measures to help ensure that advertising contained within content uploaded by users complies with the same rules</w:t>
      </w:r>
      <w:r w:rsidR="007A7755">
        <w:rPr>
          <w:sz w:val="24"/>
          <w:szCs w:val="24"/>
        </w:rPr>
        <w:t xml:space="preserve">, for instance a notification option. </w:t>
      </w:r>
      <w:r w:rsidR="00A870E4">
        <w:rPr>
          <w:sz w:val="24"/>
          <w:szCs w:val="24"/>
        </w:rPr>
        <w:t>Th</w:t>
      </w:r>
      <w:r w:rsidR="00A70674">
        <w:rPr>
          <w:sz w:val="24"/>
          <w:szCs w:val="24"/>
        </w:rPr>
        <w:t>ese requirements</w:t>
      </w:r>
      <w:r w:rsidR="00A870E4">
        <w:rPr>
          <w:sz w:val="24"/>
          <w:szCs w:val="24"/>
        </w:rPr>
        <w:t xml:space="preserve"> bring</w:t>
      </w:r>
      <w:r w:rsidR="007A7755">
        <w:rPr>
          <w:sz w:val="24"/>
          <w:szCs w:val="24"/>
        </w:rPr>
        <w:t xml:space="preserve"> </w:t>
      </w:r>
      <w:r w:rsidR="00A870E4">
        <w:rPr>
          <w:sz w:val="24"/>
          <w:szCs w:val="24"/>
        </w:rPr>
        <w:t>VSPs into alignment with other media providers.</w:t>
      </w:r>
      <w:r w:rsidR="007A7755">
        <w:rPr>
          <w:sz w:val="24"/>
          <w:szCs w:val="24"/>
        </w:rPr>
        <w:t xml:space="preserve"> </w:t>
      </w:r>
      <w:r w:rsidR="00607445">
        <w:rPr>
          <w:sz w:val="24"/>
          <w:szCs w:val="24"/>
        </w:rPr>
        <w:t>Again, the above mentioned ‘appropriate measures’ are required to ensure compliance.</w:t>
      </w:r>
      <w:r w:rsidR="00A870E4" w:rsidRPr="00A870E4">
        <w:rPr>
          <w:sz w:val="24"/>
          <w:szCs w:val="24"/>
        </w:rPr>
        <w:t xml:space="preserve"> </w:t>
      </w:r>
      <w:r w:rsidR="00A870E4">
        <w:rPr>
          <w:sz w:val="24"/>
          <w:szCs w:val="24"/>
        </w:rPr>
        <w:t xml:space="preserve">Generally, the measures taken need to be compatible with the </w:t>
      </w:r>
      <w:r w:rsidR="00A870E4">
        <w:rPr>
          <w:sz w:val="24"/>
          <w:szCs w:val="24"/>
        </w:rPr>
        <w:lastRenderedPageBreak/>
        <w:t>E-Commerce Directive, including flagging systems, age-verification, content rating systems etc.</w:t>
      </w:r>
      <w:r w:rsidR="00A870E4">
        <w:rPr>
          <w:rStyle w:val="FootnoteReference"/>
          <w:sz w:val="24"/>
          <w:szCs w:val="24"/>
        </w:rPr>
        <w:footnoteReference w:id="45"/>
      </w:r>
      <w:r w:rsidR="00A870E4">
        <w:rPr>
          <w:sz w:val="24"/>
          <w:szCs w:val="24"/>
        </w:rPr>
        <w:t xml:space="preserve"> </w:t>
      </w:r>
      <w:r w:rsidR="008A5113">
        <w:rPr>
          <w:sz w:val="24"/>
          <w:szCs w:val="24"/>
        </w:rPr>
        <w:t xml:space="preserve">There are also requirements for Member States to foster self-regulatory measures to control the </w:t>
      </w:r>
      <w:r w:rsidR="00787BE5">
        <w:rPr>
          <w:sz w:val="24"/>
          <w:szCs w:val="24"/>
        </w:rPr>
        <w:t>advertising of the junk foods on VSPs.</w:t>
      </w:r>
      <w:r w:rsidR="00787BE5">
        <w:rPr>
          <w:rStyle w:val="FootnoteReference"/>
          <w:sz w:val="24"/>
          <w:szCs w:val="24"/>
        </w:rPr>
        <w:footnoteReference w:id="46"/>
      </w:r>
    </w:p>
    <w:p w14:paraId="37D3CD61" w14:textId="04BEDFDF" w:rsidR="009F1FCF" w:rsidRDefault="009F1FCF" w:rsidP="003448F7">
      <w:pPr>
        <w:spacing w:line="360" w:lineRule="auto"/>
        <w:jc w:val="both"/>
        <w:rPr>
          <w:sz w:val="24"/>
          <w:szCs w:val="24"/>
        </w:rPr>
      </w:pPr>
      <w:r w:rsidRPr="00CA1BB1">
        <w:rPr>
          <w:sz w:val="24"/>
          <w:szCs w:val="24"/>
        </w:rPr>
        <w:t>One concern that arises in relation to content restrictions is the potential for Member States to further regulate above and beyond the minimum requirements. For instance, scholars have pointed to the risk of fragmentation and warned of the potential for differing interpretations to cause issues for providers.</w:t>
      </w:r>
      <w:r w:rsidRPr="00CA1BB1">
        <w:rPr>
          <w:rStyle w:val="FootnoteReference"/>
          <w:sz w:val="24"/>
          <w:szCs w:val="24"/>
        </w:rPr>
        <w:footnoteReference w:id="47"/>
      </w:r>
      <w:r w:rsidRPr="00CA1BB1">
        <w:rPr>
          <w:sz w:val="24"/>
          <w:szCs w:val="24"/>
        </w:rPr>
        <w:t xml:space="preserve"> It remains to be seen</w:t>
      </w:r>
      <w:r>
        <w:rPr>
          <w:sz w:val="24"/>
          <w:szCs w:val="24"/>
        </w:rPr>
        <w:t xml:space="preserve"> how this will work in practice however, it is argued that, with co-operation under the guise of ERGA, major divergence can be avoided. Overall, it is submitted that these content requirements are proportionate, striking a key balance that respects the safe harbour principles while also building a comprehensive framework to protect audiences from harmful content. In a similar vein to other recent regulations at an EU level, the Directive uses VSPs as a co-regulatory partner, requiring them to utilise their own systems to tackle the harms that they or their uses can cause.</w:t>
      </w:r>
    </w:p>
    <w:p w14:paraId="2F4904BA" w14:textId="272F0998" w:rsidR="002229A5" w:rsidRPr="00093E9C" w:rsidRDefault="00C33725" w:rsidP="003448F7">
      <w:pPr>
        <w:spacing w:line="360" w:lineRule="auto"/>
        <w:jc w:val="center"/>
        <w:rPr>
          <w:b/>
          <w:bCs/>
          <w:sz w:val="24"/>
          <w:szCs w:val="24"/>
        </w:rPr>
      </w:pPr>
      <w:r w:rsidRPr="00093E9C">
        <w:rPr>
          <w:b/>
          <w:bCs/>
          <w:sz w:val="24"/>
          <w:szCs w:val="24"/>
        </w:rPr>
        <w:t xml:space="preserve">PART </w:t>
      </w:r>
      <w:r w:rsidR="00B662CD">
        <w:rPr>
          <w:b/>
          <w:bCs/>
          <w:sz w:val="24"/>
          <w:szCs w:val="24"/>
        </w:rPr>
        <w:t>I</w:t>
      </w:r>
      <w:r w:rsidR="006114B7" w:rsidRPr="00093E9C">
        <w:rPr>
          <w:b/>
          <w:bCs/>
          <w:sz w:val="24"/>
          <w:szCs w:val="24"/>
        </w:rPr>
        <w:t>V</w:t>
      </w:r>
      <w:r w:rsidRPr="00093E9C">
        <w:rPr>
          <w:b/>
          <w:bCs/>
          <w:sz w:val="24"/>
          <w:szCs w:val="24"/>
        </w:rPr>
        <w:t xml:space="preserve">: </w:t>
      </w:r>
      <w:r w:rsidR="001704AA" w:rsidRPr="00093E9C">
        <w:rPr>
          <w:b/>
          <w:bCs/>
          <w:sz w:val="24"/>
          <w:szCs w:val="24"/>
        </w:rPr>
        <w:t>In Vlogs We Trust – Obligations on Online Content Creators, Vloggers and Influencers</w:t>
      </w:r>
    </w:p>
    <w:p w14:paraId="7A7C036D" w14:textId="3DF6EDE6" w:rsidR="002229A5" w:rsidRPr="002229A5" w:rsidRDefault="002229A5" w:rsidP="003448F7">
      <w:pPr>
        <w:spacing w:line="360" w:lineRule="auto"/>
        <w:jc w:val="both"/>
        <w:rPr>
          <w:sz w:val="24"/>
          <w:szCs w:val="24"/>
          <w:lang w:val="en-GB"/>
        </w:rPr>
      </w:pPr>
      <w:r w:rsidRPr="002229A5">
        <w:rPr>
          <w:sz w:val="24"/>
          <w:szCs w:val="24"/>
          <w:lang w:val="en-GB"/>
        </w:rPr>
        <w:t xml:space="preserve">Prior to the advent of the current </w:t>
      </w:r>
      <w:r w:rsidR="00CA1BB1">
        <w:rPr>
          <w:sz w:val="24"/>
          <w:szCs w:val="24"/>
          <w:lang w:val="en-GB"/>
        </w:rPr>
        <w:t>AVMSD</w:t>
      </w:r>
      <w:r w:rsidRPr="002229A5">
        <w:rPr>
          <w:sz w:val="24"/>
          <w:szCs w:val="24"/>
          <w:lang w:val="en-GB"/>
        </w:rPr>
        <w:t xml:space="preserve">, the regulatory landscape for social media influencers, vloggers </w:t>
      </w:r>
      <w:r w:rsidR="006114B7">
        <w:rPr>
          <w:sz w:val="24"/>
          <w:szCs w:val="24"/>
          <w:lang w:val="en-GB"/>
        </w:rPr>
        <w:t xml:space="preserve">and digital content creators </w:t>
      </w:r>
      <w:r w:rsidRPr="002229A5">
        <w:rPr>
          <w:sz w:val="24"/>
          <w:szCs w:val="24"/>
          <w:lang w:val="en-GB"/>
        </w:rPr>
        <w:t xml:space="preserve">was a vacuum, with the 2010 iteration of the </w:t>
      </w:r>
      <w:r w:rsidR="00CA1BB1">
        <w:rPr>
          <w:sz w:val="24"/>
          <w:szCs w:val="24"/>
          <w:lang w:val="en-GB"/>
        </w:rPr>
        <w:t>AVMSD</w:t>
      </w:r>
      <w:r w:rsidRPr="002229A5">
        <w:rPr>
          <w:sz w:val="24"/>
          <w:szCs w:val="24"/>
          <w:lang w:val="en-GB"/>
        </w:rPr>
        <w:t xml:space="preserve"> specifically excluding VSPs and other online digital media. This is in spite of the Commission’s stated intention in 2010 to create a “consistent internal market framework for information society services by modernising the legal framework for audiovisual services.”</w:t>
      </w:r>
      <w:r w:rsidR="006114B7">
        <w:rPr>
          <w:rStyle w:val="FootnoteReference"/>
          <w:sz w:val="24"/>
          <w:szCs w:val="24"/>
          <w:lang w:val="en-GB"/>
        </w:rPr>
        <w:footnoteReference w:id="48"/>
      </w:r>
      <w:r w:rsidR="00351421">
        <w:rPr>
          <w:sz w:val="24"/>
          <w:szCs w:val="24"/>
          <w:lang w:val="en-GB"/>
        </w:rPr>
        <w:t xml:space="preserve"> In this regulatory void, influencer marketing has emerged as a massive industry allowing advertisers to utilise user-generated content and the creators behind it to target audiences in a precise and intimate way.</w:t>
      </w:r>
      <w:r w:rsidR="00351421">
        <w:rPr>
          <w:rStyle w:val="FootnoteReference"/>
          <w:sz w:val="24"/>
          <w:szCs w:val="24"/>
          <w:lang w:val="en-GB"/>
        </w:rPr>
        <w:footnoteReference w:id="49"/>
      </w:r>
      <w:r w:rsidR="00BF34D5">
        <w:rPr>
          <w:sz w:val="24"/>
          <w:szCs w:val="24"/>
          <w:lang w:val="en-GB"/>
        </w:rPr>
        <w:t xml:space="preserve"> Indeed, some have estimated that influencer marketing has a value of nearly $15 billion in 2022, clearly indicating the critical nature of such advertising in the online space.</w:t>
      </w:r>
      <w:r w:rsidR="00BF34D5">
        <w:rPr>
          <w:rStyle w:val="FootnoteReference"/>
          <w:sz w:val="24"/>
          <w:szCs w:val="24"/>
          <w:lang w:val="en-GB"/>
        </w:rPr>
        <w:footnoteReference w:id="50"/>
      </w:r>
      <w:r w:rsidR="00BF34D5">
        <w:rPr>
          <w:sz w:val="24"/>
          <w:szCs w:val="24"/>
          <w:lang w:val="en-GB"/>
        </w:rPr>
        <w:t xml:space="preserve"> </w:t>
      </w:r>
      <w:r w:rsidR="000F21FF">
        <w:rPr>
          <w:sz w:val="24"/>
          <w:szCs w:val="24"/>
          <w:lang w:val="en-GB"/>
        </w:rPr>
        <w:t xml:space="preserve">With influencers and online content creators playing such an important role in </w:t>
      </w:r>
      <w:r w:rsidR="000F21FF">
        <w:rPr>
          <w:sz w:val="24"/>
          <w:szCs w:val="24"/>
          <w:lang w:val="en-GB"/>
        </w:rPr>
        <w:lastRenderedPageBreak/>
        <w:t>the audiovisual media ecosystem in particular their role as the main draw to VSPs, it is worth examining what the updated regulations will mean for these users.</w:t>
      </w:r>
    </w:p>
    <w:p w14:paraId="46574299" w14:textId="22802885" w:rsidR="002229A5" w:rsidRPr="002229A5" w:rsidRDefault="000F21FF" w:rsidP="003448F7">
      <w:pPr>
        <w:spacing w:line="360" w:lineRule="auto"/>
        <w:jc w:val="both"/>
        <w:rPr>
          <w:sz w:val="24"/>
          <w:szCs w:val="24"/>
          <w:lang w:val="en-GB"/>
        </w:rPr>
      </w:pPr>
      <w:r>
        <w:rPr>
          <w:sz w:val="24"/>
          <w:szCs w:val="24"/>
          <w:lang w:val="en-GB"/>
        </w:rPr>
        <w:t>Prior to the 2018 revision, influencers, like the VSPs they operate on, were very much excluded from the legal framework with self- or certain co-regulatory measures being the only type of regulations applicable to them</w:t>
      </w:r>
      <w:r w:rsidR="00BF34D5">
        <w:rPr>
          <w:sz w:val="24"/>
          <w:szCs w:val="24"/>
          <w:lang w:val="en-GB"/>
        </w:rPr>
        <w:t>.</w:t>
      </w:r>
      <w:r>
        <w:rPr>
          <w:sz w:val="24"/>
          <w:szCs w:val="24"/>
          <w:lang w:val="en-GB"/>
        </w:rPr>
        <w:t xml:space="preserve"> </w:t>
      </w:r>
      <w:r w:rsidR="002229A5" w:rsidRPr="002229A5">
        <w:rPr>
          <w:sz w:val="24"/>
          <w:szCs w:val="24"/>
          <w:lang w:val="en-GB"/>
        </w:rPr>
        <w:t>One such example of these self-regulatory initiatives, is the often-praised Dutch Social Media Advertising Code</w:t>
      </w:r>
      <w:r w:rsidR="009C1F4E">
        <w:rPr>
          <w:sz w:val="24"/>
          <w:szCs w:val="24"/>
          <w:lang w:val="en-GB"/>
        </w:rPr>
        <w:t>.</w:t>
      </w:r>
      <w:r w:rsidR="009C1F4E">
        <w:rPr>
          <w:rStyle w:val="FootnoteReference"/>
          <w:sz w:val="24"/>
          <w:szCs w:val="24"/>
          <w:lang w:val="en-GB"/>
        </w:rPr>
        <w:footnoteReference w:id="51"/>
      </w:r>
      <w:r w:rsidR="009C1F4E">
        <w:rPr>
          <w:sz w:val="24"/>
          <w:szCs w:val="24"/>
          <w:lang w:val="en-GB"/>
        </w:rPr>
        <w:t xml:space="preserve"> </w:t>
      </w:r>
      <w:r w:rsidR="002229A5" w:rsidRPr="002229A5">
        <w:rPr>
          <w:sz w:val="24"/>
          <w:szCs w:val="24"/>
          <w:lang w:val="en-GB"/>
        </w:rPr>
        <w:t>The Code, which was drafted in 2014, provide</w:t>
      </w:r>
      <w:r w:rsidR="00E1427E">
        <w:rPr>
          <w:sz w:val="24"/>
          <w:szCs w:val="24"/>
          <w:lang w:val="en-GB"/>
        </w:rPr>
        <w:t>d</w:t>
      </w:r>
      <w:r w:rsidR="002229A5" w:rsidRPr="002229A5">
        <w:rPr>
          <w:sz w:val="24"/>
          <w:szCs w:val="24"/>
          <w:lang w:val="en-GB"/>
        </w:rPr>
        <w:t xml:space="preserve"> a mandatory framework for advertising within the social media environment. </w:t>
      </w:r>
      <w:r w:rsidR="00E1427E">
        <w:rPr>
          <w:sz w:val="24"/>
          <w:szCs w:val="24"/>
          <w:lang w:val="en-GB"/>
        </w:rPr>
        <w:t xml:space="preserve">Aside from these kinds of initiatives at national level or indeed, self-regulatory measures undertaken by advertising bodies, the regulatory space was in essence undefined, with influencers operating in a legal grey area. </w:t>
      </w:r>
    </w:p>
    <w:p w14:paraId="05F1BFF6" w14:textId="0C8D25B2" w:rsidR="002032B0" w:rsidRDefault="00920A23" w:rsidP="003448F7">
      <w:pPr>
        <w:spacing w:line="360" w:lineRule="auto"/>
        <w:jc w:val="both"/>
        <w:rPr>
          <w:sz w:val="24"/>
          <w:szCs w:val="24"/>
          <w:lang w:val="en-GB"/>
        </w:rPr>
      </w:pPr>
      <w:r>
        <w:rPr>
          <w:sz w:val="24"/>
          <w:szCs w:val="24"/>
          <w:lang w:val="en-GB"/>
        </w:rPr>
        <w:t>As noted in Part IV above</w:t>
      </w:r>
      <w:r w:rsidR="002229A5" w:rsidRPr="002229A5">
        <w:rPr>
          <w:sz w:val="24"/>
          <w:szCs w:val="24"/>
          <w:lang w:val="en-GB"/>
        </w:rPr>
        <w:t xml:space="preserve">, the provisions of the </w:t>
      </w:r>
      <w:r w:rsidR="00CA1BB1">
        <w:rPr>
          <w:sz w:val="24"/>
          <w:szCs w:val="24"/>
          <w:lang w:val="en-GB"/>
        </w:rPr>
        <w:t>AVMSD</w:t>
      </w:r>
      <w:r w:rsidR="002229A5" w:rsidRPr="002229A5">
        <w:rPr>
          <w:sz w:val="24"/>
          <w:szCs w:val="24"/>
          <w:lang w:val="en-GB"/>
        </w:rPr>
        <w:t xml:space="preserve"> apply to VSPs in a variety of ways, in particular in terms of content obligations and requirements pertaining to the transparency of commercial communications. With the</w:t>
      </w:r>
      <w:r w:rsidR="002032B0">
        <w:rPr>
          <w:sz w:val="24"/>
          <w:szCs w:val="24"/>
          <w:lang w:val="en-GB"/>
        </w:rPr>
        <w:t>se</w:t>
      </w:r>
      <w:r w:rsidR="002229A5" w:rsidRPr="002229A5">
        <w:rPr>
          <w:sz w:val="24"/>
          <w:szCs w:val="24"/>
          <w:lang w:val="en-GB"/>
        </w:rPr>
        <w:t xml:space="preserve"> provisions, influencers are, in a sense, subject to dual regulation. </w:t>
      </w:r>
      <w:r w:rsidR="002032B0" w:rsidRPr="002229A5">
        <w:rPr>
          <w:sz w:val="24"/>
          <w:szCs w:val="24"/>
          <w:lang w:val="en-GB"/>
        </w:rPr>
        <w:t xml:space="preserve">Under the provisions of the </w:t>
      </w:r>
      <w:r w:rsidR="00CA1BB1">
        <w:rPr>
          <w:sz w:val="24"/>
          <w:szCs w:val="24"/>
          <w:lang w:val="en-GB"/>
        </w:rPr>
        <w:t>AVMSD</w:t>
      </w:r>
      <w:r w:rsidR="002032B0" w:rsidRPr="002229A5">
        <w:rPr>
          <w:sz w:val="24"/>
          <w:szCs w:val="24"/>
          <w:lang w:val="en-GB"/>
        </w:rPr>
        <w:t>, influencers</w:t>
      </w:r>
      <w:r w:rsidR="002032B0">
        <w:rPr>
          <w:sz w:val="24"/>
          <w:szCs w:val="24"/>
          <w:lang w:val="en-GB"/>
        </w:rPr>
        <w:t xml:space="preserve"> with large enough followings</w:t>
      </w:r>
      <w:r w:rsidR="002032B0" w:rsidRPr="002229A5">
        <w:rPr>
          <w:sz w:val="24"/>
          <w:szCs w:val="24"/>
          <w:lang w:val="en-GB"/>
        </w:rPr>
        <w:t xml:space="preserve"> could now be subject to a much more direct form of regulation. Reflecting the shift of the AVMS to broaden its reach and impact, the Directive now explicitly captures larger influencer channels who exercise editorial control over their content</w:t>
      </w:r>
      <w:r w:rsidR="00ED57E0">
        <w:rPr>
          <w:sz w:val="24"/>
          <w:szCs w:val="24"/>
          <w:lang w:val="en-GB"/>
        </w:rPr>
        <w:t>, classifying them as potential on-demand providers with all of the obligations that entails</w:t>
      </w:r>
      <w:r w:rsidR="002032B0" w:rsidRPr="002229A5">
        <w:rPr>
          <w:sz w:val="24"/>
          <w:szCs w:val="24"/>
          <w:lang w:val="en-GB"/>
        </w:rPr>
        <w:t>.</w:t>
      </w:r>
      <w:r w:rsidR="002032B0">
        <w:rPr>
          <w:rStyle w:val="FootnoteReference"/>
          <w:sz w:val="24"/>
          <w:szCs w:val="24"/>
          <w:lang w:val="en-GB"/>
        </w:rPr>
        <w:footnoteReference w:id="52"/>
      </w:r>
      <w:r w:rsidR="002032B0" w:rsidRPr="002229A5">
        <w:rPr>
          <w:sz w:val="24"/>
          <w:szCs w:val="24"/>
          <w:lang w:val="en-GB"/>
        </w:rPr>
        <w:t xml:space="preserve"> </w:t>
      </w:r>
      <w:r w:rsidR="000D0199">
        <w:rPr>
          <w:sz w:val="24"/>
          <w:szCs w:val="24"/>
          <w:lang w:val="en-GB"/>
        </w:rPr>
        <w:t xml:space="preserve">As ERGA notes, </w:t>
      </w:r>
      <w:r w:rsidR="00ED57E0">
        <w:rPr>
          <w:sz w:val="24"/>
          <w:szCs w:val="24"/>
          <w:lang w:val="en-GB"/>
        </w:rPr>
        <w:t>there are a number of criteria that national regulators will need to consider when making the assessment as to whether an individual vlogger falls within the definition of an on-demand service, including editorial control, mass media appeal etc.</w:t>
      </w:r>
      <w:r w:rsidR="000D0199">
        <w:rPr>
          <w:rStyle w:val="FootnoteReference"/>
          <w:sz w:val="24"/>
          <w:szCs w:val="24"/>
          <w:lang w:val="en-GB"/>
        </w:rPr>
        <w:footnoteReference w:id="53"/>
      </w:r>
      <w:r w:rsidR="00243E52">
        <w:rPr>
          <w:sz w:val="24"/>
          <w:szCs w:val="24"/>
          <w:lang w:val="en-GB"/>
        </w:rPr>
        <w:t xml:space="preserve"> The recommendation is that regulators should use a collaborative, soft-law approach to help ensure compliance. The author concurs with this approach and argues that in practice, all but the largest of channels could escape being classified as on-demand providers. As always however, caution about divergent approaches among regulators must be exercised.</w:t>
      </w:r>
    </w:p>
    <w:p w14:paraId="448E7D46" w14:textId="7BFF5585" w:rsidR="001E0560" w:rsidRDefault="002032B0" w:rsidP="003448F7">
      <w:pPr>
        <w:spacing w:line="360" w:lineRule="auto"/>
        <w:jc w:val="both"/>
        <w:rPr>
          <w:sz w:val="24"/>
          <w:szCs w:val="24"/>
          <w:lang w:val="en-GB"/>
        </w:rPr>
      </w:pPr>
      <w:r>
        <w:rPr>
          <w:sz w:val="24"/>
          <w:szCs w:val="24"/>
          <w:lang w:val="en-GB"/>
        </w:rPr>
        <w:t xml:space="preserve">While larger channels can be regulated directly </w:t>
      </w:r>
      <w:r w:rsidR="00243E52">
        <w:rPr>
          <w:sz w:val="24"/>
          <w:szCs w:val="24"/>
          <w:lang w:val="en-GB"/>
        </w:rPr>
        <w:t>as on-demand services</w:t>
      </w:r>
      <w:r>
        <w:rPr>
          <w:sz w:val="24"/>
          <w:szCs w:val="24"/>
          <w:lang w:val="en-GB"/>
        </w:rPr>
        <w:t>, a</w:t>
      </w:r>
      <w:r w:rsidR="002229A5" w:rsidRPr="002229A5">
        <w:rPr>
          <w:sz w:val="24"/>
          <w:szCs w:val="24"/>
          <w:lang w:val="en-GB"/>
        </w:rPr>
        <w:t xml:space="preserve">s De Cock Bruning points out, the requirements on VSPs </w:t>
      </w:r>
      <w:r>
        <w:rPr>
          <w:sz w:val="24"/>
          <w:szCs w:val="24"/>
          <w:lang w:val="en-GB"/>
        </w:rPr>
        <w:t xml:space="preserve">also </w:t>
      </w:r>
      <w:r w:rsidR="002229A5" w:rsidRPr="002229A5">
        <w:rPr>
          <w:sz w:val="24"/>
          <w:szCs w:val="24"/>
          <w:lang w:val="en-GB"/>
        </w:rPr>
        <w:t>indirectly impact social media influencers</w:t>
      </w:r>
      <w:r w:rsidR="00243E52">
        <w:rPr>
          <w:sz w:val="24"/>
          <w:szCs w:val="24"/>
          <w:lang w:val="en-GB"/>
        </w:rPr>
        <w:t xml:space="preserve"> of any </w:t>
      </w:r>
      <w:r w:rsidR="00243E52">
        <w:rPr>
          <w:sz w:val="24"/>
          <w:szCs w:val="24"/>
          <w:lang w:val="en-GB"/>
        </w:rPr>
        <w:lastRenderedPageBreak/>
        <w:t>size</w:t>
      </w:r>
      <w:r w:rsidR="002229A5" w:rsidRPr="002229A5">
        <w:rPr>
          <w:sz w:val="24"/>
          <w:szCs w:val="24"/>
          <w:lang w:val="en-GB"/>
        </w:rPr>
        <w:t>.</w:t>
      </w:r>
      <w:r w:rsidR="009C1F4E">
        <w:rPr>
          <w:rStyle w:val="FootnoteReference"/>
          <w:sz w:val="24"/>
          <w:szCs w:val="24"/>
          <w:lang w:val="en-GB"/>
        </w:rPr>
        <w:footnoteReference w:id="54"/>
      </w:r>
      <w:r w:rsidR="002229A5" w:rsidRPr="002229A5">
        <w:rPr>
          <w:sz w:val="24"/>
          <w:szCs w:val="24"/>
          <w:lang w:val="en-GB"/>
        </w:rPr>
        <w:t xml:space="preserve"> </w:t>
      </w:r>
      <w:r>
        <w:rPr>
          <w:sz w:val="24"/>
          <w:szCs w:val="24"/>
          <w:lang w:val="en-GB"/>
        </w:rPr>
        <w:t>For example, t</w:t>
      </w:r>
      <w:r w:rsidR="00A50780">
        <w:rPr>
          <w:sz w:val="24"/>
          <w:szCs w:val="24"/>
          <w:lang w:val="en-GB"/>
        </w:rPr>
        <w:t>he prohibitions of hate speech and terrorist content apply indirectly</w:t>
      </w:r>
      <w:r>
        <w:rPr>
          <w:sz w:val="24"/>
          <w:szCs w:val="24"/>
          <w:lang w:val="en-GB"/>
        </w:rPr>
        <w:t xml:space="preserve">. This is alongside </w:t>
      </w:r>
      <w:r w:rsidR="00A50780">
        <w:rPr>
          <w:sz w:val="24"/>
          <w:szCs w:val="24"/>
          <w:lang w:val="en-GB"/>
        </w:rPr>
        <w:t>other content moderation obligations on removing illegal content</w:t>
      </w:r>
      <w:r>
        <w:rPr>
          <w:sz w:val="24"/>
          <w:szCs w:val="24"/>
          <w:lang w:val="en-GB"/>
        </w:rPr>
        <w:t>, which</w:t>
      </w:r>
      <w:r w:rsidR="00A50780">
        <w:rPr>
          <w:sz w:val="24"/>
          <w:szCs w:val="24"/>
          <w:lang w:val="en-GB"/>
        </w:rPr>
        <w:t xml:space="preserve"> apply through the VSP, meaning that influencers or online content creators who make available infringing content could see it removed via flagging processes etc. </w:t>
      </w:r>
      <w:r>
        <w:rPr>
          <w:sz w:val="24"/>
          <w:szCs w:val="24"/>
          <w:lang w:val="en-GB"/>
        </w:rPr>
        <w:t xml:space="preserve">Similarly, the commercial communications obligations apply indirectly. </w:t>
      </w:r>
      <w:r w:rsidR="002229A5" w:rsidRPr="002229A5">
        <w:rPr>
          <w:sz w:val="24"/>
          <w:szCs w:val="24"/>
          <w:lang w:val="en-GB"/>
        </w:rPr>
        <w:t>VSPs are required to, via self-regulatory means, comply not only with commercial communications obligations for their own content but also to ensure compliance by their users too</w:t>
      </w:r>
      <w:r w:rsidR="009C1F4E">
        <w:rPr>
          <w:sz w:val="24"/>
          <w:szCs w:val="24"/>
          <w:lang w:val="en-GB"/>
        </w:rPr>
        <w:t>.</w:t>
      </w:r>
      <w:r w:rsidR="009C1F4E">
        <w:rPr>
          <w:rStyle w:val="FootnoteReference"/>
          <w:sz w:val="24"/>
          <w:szCs w:val="24"/>
          <w:lang w:val="en-GB"/>
        </w:rPr>
        <w:footnoteReference w:id="55"/>
      </w:r>
      <w:r w:rsidR="002229A5" w:rsidRPr="002229A5">
        <w:rPr>
          <w:sz w:val="24"/>
          <w:szCs w:val="24"/>
          <w:lang w:val="en-GB"/>
        </w:rPr>
        <w:t xml:space="preserve"> </w:t>
      </w:r>
      <w:r w:rsidR="0072417A">
        <w:rPr>
          <w:sz w:val="24"/>
          <w:szCs w:val="24"/>
          <w:lang w:val="en-GB"/>
        </w:rPr>
        <w:t>In this</w:t>
      </w:r>
      <w:r w:rsidR="00B55547">
        <w:rPr>
          <w:sz w:val="24"/>
          <w:szCs w:val="24"/>
          <w:lang w:val="en-GB"/>
        </w:rPr>
        <w:t xml:space="preserve"> sense</w:t>
      </w:r>
      <w:r w:rsidR="0072417A">
        <w:rPr>
          <w:sz w:val="24"/>
          <w:szCs w:val="24"/>
          <w:lang w:val="en-GB"/>
        </w:rPr>
        <w:t>, while influencers and content creators are themselves liable for the commercial communications</w:t>
      </w:r>
      <w:r w:rsidR="00612A43">
        <w:rPr>
          <w:sz w:val="24"/>
          <w:szCs w:val="24"/>
          <w:lang w:val="en-GB"/>
        </w:rPr>
        <w:t xml:space="preserve"> such as sponsorship deals</w:t>
      </w:r>
      <w:r w:rsidR="0072417A">
        <w:rPr>
          <w:sz w:val="24"/>
          <w:szCs w:val="24"/>
          <w:lang w:val="en-GB"/>
        </w:rPr>
        <w:t xml:space="preserve"> within their own content, their platform is required to provide the tools and functionalities to enable them to </w:t>
      </w:r>
      <w:r w:rsidR="00B55547">
        <w:rPr>
          <w:sz w:val="24"/>
          <w:szCs w:val="24"/>
          <w:lang w:val="en-GB"/>
        </w:rPr>
        <w:t>comply</w:t>
      </w:r>
      <w:r w:rsidR="0072417A">
        <w:rPr>
          <w:sz w:val="24"/>
          <w:szCs w:val="24"/>
          <w:lang w:val="en-GB"/>
        </w:rPr>
        <w:t>.</w:t>
      </w:r>
      <w:r w:rsidR="00612A43">
        <w:rPr>
          <w:rStyle w:val="FootnoteReference"/>
          <w:sz w:val="24"/>
          <w:szCs w:val="24"/>
          <w:lang w:val="en-GB"/>
        </w:rPr>
        <w:footnoteReference w:id="56"/>
      </w:r>
      <w:r w:rsidR="00920A23">
        <w:rPr>
          <w:sz w:val="24"/>
          <w:szCs w:val="24"/>
          <w:lang w:val="en-GB"/>
        </w:rPr>
        <w:t xml:space="preserve"> </w:t>
      </w:r>
      <w:r w:rsidR="002229A5" w:rsidRPr="002229A5">
        <w:rPr>
          <w:sz w:val="24"/>
          <w:szCs w:val="24"/>
          <w:lang w:val="en-GB"/>
        </w:rPr>
        <w:t xml:space="preserve">Under the 2018 Directive, Member States and their respective media regulators will be required to ensure that VSPs have at least the following provisions within their terms of service: all of the requirements set out under Article 9(1) </w:t>
      </w:r>
      <w:r w:rsidR="009C1F4E">
        <w:rPr>
          <w:sz w:val="24"/>
          <w:szCs w:val="24"/>
          <w:lang w:val="en-GB"/>
        </w:rPr>
        <w:t>o</w:t>
      </w:r>
      <w:r w:rsidR="002229A5" w:rsidRPr="002229A5">
        <w:rPr>
          <w:sz w:val="24"/>
          <w:szCs w:val="24"/>
          <w:lang w:val="en-GB"/>
        </w:rPr>
        <w:t xml:space="preserve">f the </w:t>
      </w:r>
      <w:r w:rsidR="00CA1BB1">
        <w:rPr>
          <w:sz w:val="24"/>
          <w:szCs w:val="24"/>
          <w:lang w:val="en-GB"/>
        </w:rPr>
        <w:t>AVMSD</w:t>
      </w:r>
      <w:r w:rsidR="002229A5" w:rsidRPr="002229A5">
        <w:rPr>
          <w:sz w:val="24"/>
          <w:szCs w:val="24"/>
          <w:lang w:val="en-GB"/>
        </w:rPr>
        <w:t>; a functionality for users who upload user-generated content to allow them to declare whether their videos contain any commercial communication to the best of their knowledge and</w:t>
      </w:r>
      <w:r w:rsidR="009C1F4E">
        <w:rPr>
          <w:sz w:val="24"/>
          <w:szCs w:val="24"/>
          <w:lang w:val="en-GB"/>
        </w:rPr>
        <w:t>;</w:t>
      </w:r>
      <w:r w:rsidR="002229A5" w:rsidRPr="002229A5">
        <w:rPr>
          <w:sz w:val="24"/>
          <w:szCs w:val="24"/>
          <w:lang w:val="en-GB"/>
        </w:rPr>
        <w:t xml:space="preserve"> to establish an operati</w:t>
      </w:r>
      <w:r w:rsidR="009C1F4E">
        <w:rPr>
          <w:sz w:val="24"/>
          <w:szCs w:val="24"/>
          <w:lang w:val="en-GB"/>
        </w:rPr>
        <w:t>onal</w:t>
      </w:r>
      <w:r w:rsidR="002229A5" w:rsidRPr="002229A5">
        <w:rPr>
          <w:sz w:val="24"/>
          <w:szCs w:val="24"/>
          <w:lang w:val="en-GB"/>
        </w:rPr>
        <w:t xml:space="preserve"> age-verification system for users on the platform in respect of content that may impair the physical, moral or mental development of minors.</w:t>
      </w:r>
      <w:r w:rsidR="007A6F12">
        <w:rPr>
          <w:rStyle w:val="FootnoteReference"/>
          <w:sz w:val="24"/>
          <w:szCs w:val="24"/>
          <w:lang w:val="en-GB"/>
        </w:rPr>
        <w:footnoteReference w:id="57"/>
      </w:r>
      <w:r w:rsidR="002229A5" w:rsidRPr="002229A5">
        <w:rPr>
          <w:sz w:val="24"/>
          <w:szCs w:val="24"/>
          <w:lang w:val="en-GB"/>
        </w:rPr>
        <w:t xml:space="preserve"> </w:t>
      </w:r>
    </w:p>
    <w:p w14:paraId="77F4AF6F" w14:textId="319C25DF" w:rsidR="00A50780" w:rsidRDefault="001E0560" w:rsidP="003448F7">
      <w:pPr>
        <w:spacing w:line="360" w:lineRule="auto"/>
        <w:jc w:val="both"/>
        <w:rPr>
          <w:sz w:val="24"/>
          <w:szCs w:val="24"/>
          <w:lang w:val="en-GB"/>
        </w:rPr>
      </w:pPr>
      <w:r>
        <w:rPr>
          <w:sz w:val="24"/>
          <w:szCs w:val="24"/>
          <w:lang w:val="en-GB"/>
        </w:rPr>
        <w:t>Overall, both individual influencers and their management will need to be more aware of their role as audiovisual media service providers. ERGA has recommended that online content creators engage with national regulatory authorities, who in turn can adopt a more collaborative approach to ensuring compliance with their new obligations.</w:t>
      </w:r>
      <w:r>
        <w:rPr>
          <w:rStyle w:val="FootnoteReference"/>
          <w:sz w:val="24"/>
          <w:szCs w:val="24"/>
          <w:lang w:val="en-GB"/>
        </w:rPr>
        <w:footnoteReference w:id="58"/>
      </w:r>
      <w:r>
        <w:rPr>
          <w:sz w:val="24"/>
          <w:szCs w:val="24"/>
          <w:lang w:val="en-GB"/>
        </w:rPr>
        <w:t xml:space="preserve"> As regards the enforcement of all of these requirements, t</w:t>
      </w:r>
      <w:r w:rsidR="00243E52" w:rsidRPr="002229A5">
        <w:rPr>
          <w:sz w:val="24"/>
          <w:szCs w:val="24"/>
          <w:lang w:val="en-GB"/>
        </w:rPr>
        <w:t xml:space="preserve">he Directive entrusts the monitoring and assessment of these measures to the national regulatory authorities of the </w:t>
      </w:r>
      <w:r>
        <w:rPr>
          <w:sz w:val="24"/>
          <w:szCs w:val="24"/>
          <w:lang w:val="en-GB"/>
        </w:rPr>
        <w:t>M</w:t>
      </w:r>
      <w:r w:rsidR="00243E52" w:rsidRPr="002229A5">
        <w:rPr>
          <w:sz w:val="24"/>
          <w:szCs w:val="24"/>
          <w:lang w:val="en-GB"/>
        </w:rPr>
        <w:t xml:space="preserve">ember </w:t>
      </w:r>
      <w:r>
        <w:rPr>
          <w:sz w:val="24"/>
          <w:szCs w:val="24"/>
          <w:lang w:val="en-GB"/>
        </w:rPr>
        <w:t>S</w:t>
      </w:r>
      <w:r w:rsidR="00243E52" w:rsidRPr="002229A5">
        <w:rPr>
          <w:sz w:val="24"/>
          <w:szCs w:val="24"/>
          <w:lang w:val="en-GB"/>
        </w:rPr>
        <w:t>tates.</w:t>
      </w:r>
      <w:r w:rsidR="00243E52">
        <w:rPr>
          <w:rStyle w:val="FootnoteReference"/>
          <w:sz w:val="24"/>
          <w:szCs w:val="24"/>
          <w:lang w:val="en-GB"/>
        </w:rPr>
        <w:footnoteReference w:id="59"/>
      </w:r>
    </w:p>
    <w:p w14:paraId="5179D820" w14:textId="0B71999D" w:rsidR="002229A5" w:rsidRDefault="001E0560" w:rsidP="003448F7">
      <w:pPr>
        <w:spacing w:line="360" w:lineRule="auto"/>
        <w:jc w:val="both"/>
        <w:rPr>
          <w:sz w:val="24"/>
          <w:szCs w:val="24"/>
          <w:lang w:val="en-GB"/>
        </w:rPr>
      </w:pPr>
      <w:r w:rsidRPr="002229A5">
        <w:rPr>
          <w:sz w:val="24"/>
          <w:szCs w:val="24"/>
          <w:lang w:val="en-GB"/>
        </w:rPr>
        <w:t>While influencers will be subject to these restrictions under the regulatory auspices of their VSPs relevant national authorities, they will also come under the control of t</w:t>
      </w:r>
      <w:r>
        <w:rPr>
          <w:sz w:val="24"/>
          <w:szCs w:val="24"/>
          <w:lang w:val="en-GB"/>
        </w:rPr>
        <w:t>heir respective</w:t>
      </w:r>
      <w:r w:rsidRPr="002229A5">
        <w:rPr>
          <w:sz w:val="24"/>
          <w:szCs w:val="24"/>
          <w:lang w:val="en-GB"/>
        </w:rPr>
        <w:t xml:space="preserve"> platform's terms and conditions/services. </w:t>
      </w:r>
      <w:r>
        <w:rPr>
          <w:sz w:val="24"/>
          <w:szCs w:val="24"/>
          <w:lang w:val="en-GB"/>
        </w:rPr>
        <w:t xml:space="preserve">As has been noted above, VSPs will be required to incorporate many of the Directive’s obligations into their terms of service. This, it is submitted, creates an odd situation where users will be subject to legal obligations via a private system of enforcement i.e., the platform’s internal policies. </w:t>
      </w:r>
      <w:r w:rsidR="002229A5" w:rsidRPr="002229A5">
        <w:rPr>
          <w:sz w:val="24"/>
          <w:szCs w:val="24"/>
          <w:lang w:val="en-GB"/>
        </w:rPr>
        <w:t xml:space="preserve">It has been noted by some that, given the large volume of user-generated content that is uploaded every day, VSPs will likely need to make </w:t>
      </w:r>
      <w:r w:rsidR="002229A5" w:rsidRPr="002229A5">
        <w:rPr>
          <w:sz w:val="24"/>
          <w:szCs w:val="24"/>
          <w:lang w:val="en-GB"/>
        </w:rPr>
        <w:lastRenderedPageBreak/>
        <w:t>use of AI systems in order to comply more effectively with the AVMS.</w:t>
      </w:r>
      <w:r w:rsidR="00FF232A">
        <w:rPr>
          <w:rStyle w:val="FootnoteReference"/>
          <w:sz w:val="24"/>
          <w:szCs w:val="24"/>
          <w:lang w:val="en-GB"/>
        </w:rPr>
        <w:footnoteReference w:id="60"/>
      </w:r>
      <w:r w:rsidR="002229A5" w:rsidRPr="002229A5">
        <w:rPr>
          <w:sz w:val="24"/>
          <w:szCs w:val="24"/>
          <w:lang w:val="en-GB"/>
        </w:rPr>
        <w:t xml:space="preserve"> While this solves the issue of problematic content, it raises a variety of other issues that arise from the generally lacklustre nature of AI moderation.</w:t>
      </w:r>
      <w:r w:rsidR="00FF232A">
        <w:rPr>
          <w:rStyle w:val="FootnoteReference"/>
          <w:sz w:val="24"/>
          <w:szCs w:val="24"/>
          <w:lang w:val="en-GB"/>
        </w:rPr>
        <w:footnoteReference w:id="61"/>
      </w:r>
      <w:r w:rsidR="002229A5" w:rsidRPr="002229A5">
        <w:rPr>
          <w:sz w:val="24"/>
          <w:szCs w:val="24"/>
          <w:lang w:val="en-GB"/>
        </w:rPr>
        <w:t xml:space="preserve"> There are also concerns about the over-policing of content by AI systems and research has consistently pointed to the issues that come from this, in particular in relation to free expression.</w:t>
      </w:r>
      <w:r w:rsidR="00FF232A">
        <w:rPr>
          <w:rStyle w:val="FootnoteReference"/>
          <w:sz w:val="24"/>
          <w:szCs w:val="24"/>
          <w:lang w:val="en-GB"/>
        </w:rPr>
        <w:footnoteReference w:id="62"/>
      </w:r>
      <w:r w:rsidR="002229A5" w:rsidRPr="002229A5">
        <w:rPr>
          <w:sz w:val="24"/>
          <w:szCs w:val="24"/>
          <w:lang w:val="en-GB"/>
        </w:rPr>
        <w:t xml:space="preserve"> </w:t>
      </w:r>
      <w:r w:rsidR="0057563B">
        <w:rPr>
          <w:sz w:val="24"/>
          <w:szCs w:val="24"/>
          <w:lang w:val="en-GB"/>
        </w:rPr>
        <w:t xml:space="preserve">Furthermore, such AI moderation can actually remove content that is useful or informative, for example with regards to </w:t>
      </w:r>
      <w:r w:rsidR="00E04386">
        <w:rPr>
          <w:sz w:val="24"/>
          <w:szCs w:val="24"/>
          <w:lang w:val="en-GB"/>
        </w:rPr>
        <w:t>b</w:t>
      </w:r>
      <w:r w:rsidR="0057563B">
        <w:rPr>
          <w:sz w:val="24"/>
          <w:szCs w:val="24"/>
          <w:lang w:val="en-GB"/>
        </w:rPr>
        <w:t xml:space="preserve">reast </w:t>
      </w:r>
      <w:r w:rsidR="00E04386">
        <w:rPr>
          <w:sz w:val="24"/>
          <w:szCs w:val="24"/>
          <w:lang w:val="en-GB"/>
        </w:rPr>
        <w:t>c</w:t>
      </w:r>
      <w:r w:rsidR="0057563B">
        <w:rPr>
          <w:sz w:val="24"/>
          <w:szCs w:val="24"/>
          <w:lang w:val="en-GB"/>
        </w:rPr>
        <w:t xml:space="preserve">ancer information videos which were categorised as harmful for children by </w:t>
      </w:r>
      <w:r w:rsidR="00E04386">
        <w:rPr>
          <w:sz w:val="24"/>
          <w:szCs w:val="24"/>
          <w:lang w:val="en-GB"/>
        </w:rPr>
        <w:t>automated</w:t>
      </w:r>
      <w:r w:rsidR="0057563B">
        <w:rPr>
          <w:sz w:val="24"/>
          <w:szCs w:val="24"/>
          <w:lang w:val="en-GB"/>
        </w:rPr>
        <w:t xml:space="preserve"> moderation systems.</w:t>
      </w:r>
      <w:r w:rsidR="00E04386">
        <w:rPr>
          <w:rStyle w:val="FootnoteReference"/>
          <w:sz w:val="24"/>
          <w:szCs w:val="24"/>
          <w:lang w:val="en-GB"/>
        </w:rPr>
        <w:footnoteReference w:id="63"/>
      </w:r>
      <w:r w:rsidRPr="001E0560">
        <w:rPr>
          <w:sz w:val="24"/>
          <w:szCs w:val="24"/>
          <w:lang w:val="en-GB"/>
        </w:rPr>
        <w:t xml:space="preserve"> </w:t>
      </w:r>
      <w:r w:rsidRPr="002229A5">
        <w:rPr>
          <w:sz w:val="24"/>
          <w:szCs w:val="24"/>
          <w:lang w:val="en-GB"/>
        </w:rPr>
        <w:t xml:space="preserve">De Cock Buning </w:t>
      </w:r>
      <w:r>
        <w:rPr>
          <w:sz w:val="24"/>
          <w:szCs w:val="24"/>
          <w:lang w:val="en-GB"/>
        </w:rPr>
        <w:t xml:space="preserve">has </w:t>
      </w:r>
      <w:r w:rsidRPr="002229A5">
        <w:rPr>
          <w:sz w:val="24"/>
          <w:szCs w:val="24"/>
          <w:lang w:val="en-GB"/>
        </w:rPr>
        <w:t>point</w:t>
      </w:r>
      <w:r>
        <w:rPr>
          <w:sz w:val="24"/>
          <w:szCs w:val="24"/>
          <w:lang w:val="en-GB"/>
        </w:rPr>
        <w:t>ed</w:t>
      </w:r>
      <w:r w:rsidRPr="002229A5">
        <w:rPr>
          <w:sz w:val="24"/>
          <w:szCs w:val="24"/>
          <w:lang w:val="en-GB"/>
        </w:rPr>
        <w:t xml:space="preserve"> to the dangers of AI and the potential </w:t>
      </w:r>
      <w:r>
        <w:rPr>
          <w:sz w:val="24"/>
          <w:szCs w:val="24"/>
          <w:lang w:val="en-GB"/>
        </w:rPr>
        <w:t xml:space="preserve">for a </w:t>
      </w:r>
      <w:r w:rsidRPr="002229A5">
        <w:rPr>
          <w:sz w:val="24"/>
          <w:szCs w:val="24"/>
          <w:lang w:val="en-GB"/>
        </w:rPr>
        <w:t>chilling effect on influencers.</w:t>
      </w:r>
      <w:r w:rsidR="003A7256">
        <w:rPr>
          <w:rStyle w:val="FootnoteReference"/>
          <w:sz w:val="24"/>
          <w:szCs w:val="24"/>
          <w:lang w:val="en-GB"/>
        </w:rPr>
        <w:footnoteReference w:id="64"/>
      </w:r>
      <w:r w:rsidR="003A7256">
        <w:rPr>
          <w:sz w:val="24"/>
          <w:szCs w:val="24"/>
          <w:lang w:val="en-GB"/>
        </w:rPr>
        <w:t xml:space="preserve"> </w:t>
      </w:r>
      <w:r>
        <w:rPr>
          <w:sz w:val="24"/>
          <w:szCs w:val="24"/>
          <w:lang w:val="en-GB"/>
        </w:rPr>
        <w:t xml:space="preserve">With platforms and their moderation tools becoming the </w:t>
      </w:r>
      <w:r>
        <w:rPr>
          <w:i/>
          <w:iCs/>
          <w:sz w:val="24"/>
          <w:szCs w:val="24"/>
          <w:lang w:val="en-GB"/>
        </w:rPr>
        <w:t>de facto</w:t>
      </w:r>
      <w:r>
        <w:rPr>
          <w:sz w:val="24"/>
          <w:szCs w:val="24"/>
          <w:lang w:val="en-GB"/>
        </w:rPr>
        <w:t xml:space="preserve"> enforcers, t</w:t>
      </w:r>
      <w:r w:rsidRPr="002229A5">
        <w:rPr>
          <w:sz w:val="24"/>
          <w:szCs w:val="24"/>
          <w:lang w:val="en-GB"/>
        </w:rPr>
        <w:t>his places influencers at the risk of having their livelihoods adjudicated upon by automated systems that are subject only to the platform’s terms of service with little</w:t>
      </w:r>
      <w:r>
        <w:rPr>
          <w:sz w:val="24"/>
          <w:szCs w:val="24"/>
          <w:lang w:val="en-GB"/>
        </w:rPr>
        <w:t xml:space="preserve"> in the way of</w:t>
      </w:r>
      <w:r w:rsidRPr="002229A5">
        <w:rPr>
          <w:sz w:val="24"/>
          <w:szCs w:val="24"/>
          <w:lang w:val="en-GB"/>
        </w:rPr>
        <w:t xml:space="preserve"> oversight</w:t>
      </w:r>
      <w:r>
        <w:rPr>
          <w:sz w:val="24"/>
          <w:szCs w:val="24"/>
          <w:lang w:val="en-GB"/>
        </w:rPr>
        <w:t xml:space="preserve"> nor recourse to alternative dispute mechanisms</w:t>
      </w:r>
      <w:r w:rsidRPr="002229A5">
        <w:rPr>
          <w:sz w:val="24"/>
          <w:szCs w:val="24"/>
          <w:lang w:val="en-GB"/>
        </w:rPr>
        <w:t xml:space="preserve">. </w:t>
      </w:r>
      <w:r>
        <w:rPr>
          <w:sz w:val="24"/>
          <w:szCs w:val="24"/>
          <w:lang w:val="en-GB"/>
        </w:rPr>
        <w:t>Thus, i</w:t>
      </w:r>
      <w:r w:rsidRPr="002229A5">
        <w:rPr>
          <w:sz w:val="24"/>
          <w:szCs w:val="24"/>
          <w:lang w:val="en-GB"/>
        </w:rPr>
        <w:t xml:space="preserve">t is absolutely vital that Member States and their regulatory authorities provide for robust systems and processes to settle disputes between </w:t>
      </w:r>
      <w:r>
        <w:rPr>
          <w:sz w:val="24"/>
          <w:szCs w:val="24"/>
          <w:lang w:val="en-GB"/>
        </w:rPr>
        <w:t>online content creators and their platforms. In this regard, policy-makers could potentially look to the provisions in the 2019 Copyright Directive</w:t>
      </w:r>
      <w:r>
        <w:rPr>
          <w:rStyle w:val="FootnoteReference"/>
          <w:sz w:val="24"/>
          <w:szCs w:val="24"/>
          <w:lang w:val="en-GB"/>
        </w:rPr>
        <w:footnoteReference w:id="65"/>
      </w:r>
      <w:r>
        <w:rPr>
          <w:sz w:val="24"/>
          <w:szCs w:val="24"/>
          <w:lang w:val="en-GB"/>
        </w:rPr>
        <w:t xml:space="preserve"> or the proposals in the Digital Services Act</w:t>
      </w:r>
      <w:r>
        <w:rPr>
          <w:rStyle w:val="FootnoteReference"/>
          <w:sz w:val="24"/>
          <w:szCs w:val="24"/>
          <w:lang w:val="en-GB"/>
        </w:rPr>
        <w:footnoteReference w:id="66"/>
      </w:r>
      <w:r>
        <w:rPr>
          <w:sz w:val="24"/>
          <w:szCs w:val="24"/>
          <w:lang w:val="en-GB"/>
        </w:rPr>
        <w:t xml:space="preserve"> (DSA) to create a comprehensive system of dispute settlement mechanisms covering all manner of disputes between platforms and their users.</w:t>
      </w:r>
    </w:p>
    <w:p w14:paraId="09692C90" w14:textId="7C3A68AB" w:rsidR="00B662CD" w:rsidRPr="000E2B95" w:rsidRDefault="00DD052C" w:rsidP="003448F7">
      <w:pPr>
        <w:spacing w:line="360" w:lineRule="auto"/>
        <w:jc w:val="both"/>
        <w:rPr>
          <w:sz w:val="24"/>
          <w:szCs w:val="24"/>
          <w:lang w:val="en-GB"/>
        </w:rPr>
      </w:pPr>
      <w:r>
        <w:rPr>
          <w:sz w:val="24"/>
          <w:szCs w:val="24"/>
          <w:lang w:val="en-GB"/>
        </w:rPr>
        <w:t xml:space="preserve">It is clear that the regulatory landscape for influencers, vloggers and other online content creators has changed drastically as a result of the </w:t>
      </w:r>
      <w:r w:rsidR="00CA1BB1">
        <w:rPr>
          <w:sz w:val="24"/>
          <w:szCs w:val="24"/>
          <w:lang w:val="en-GB"/>
        </w:rPr>
        <w:t>AVMSD</w:t>
      </w:r>
      <w:r>
        <w:rPr>
          <w:sz w:val="24"/>
          <w:szCs w:val="24"/>
          <w:lang w:val="en-GB"/>
        </w:rPr>
        <w:t xml:space="preserve"> which now</w:t>
      </w:r>
      <w:r w:rsidR="0055760B">
        <w:rPr>
          <w:sz w:val="24"/>
          <w:szCs w:val="24"/>
          <w:lang w:val="en-GB"/>
        </w:rPr>
        <w:t xml:space="preserve"> has the potential to</w:t>
      </w:r>
      <w:r>
        <w:rPr>
          <w:sz w:val="24"/>
          <w:szCs w:val="24"/>
          <w:lang w:val="en-GB"/>
        </w:rPr>
        <w:t xml:space="preserve"> doubly regulate creators. The new obligations on VSPs provide indirect </w:t>
      </w:r>
      <w:r w:rsidR="00FA7858">
        <w:rPr>
          <w:sz w:val="24"/>
          <w:szCs w:val="24"/>
          <w:lang w:val="en-GB"/>
        </w:rPr>
        <w:t>regulatory control over platform users in respect of the content they create</w:t>
      </w:r>
      <w:r>
        <w:rPr>
          <w:sz w:val="24"/>
          <w:szCs w:val="24"/>
          <w:lang w:val="en-GB"/>
        </w:rPr>
        <w:t>,</w:t>
      </w:r>
      <w:r w:rsidR="00FA7858">
        <w:rPr>
          <w:sz w:val="24"/>
          <w:szCs w:val="24"/>
          <w:lang w:val="en-GB"/>
        </w:rPr>
        <w:t xml:space="preserve"> while at the same time,</w:t>
      </w:r>
      <w:r>
        <w:rPr>
          <w:sz w:val="24"/>
          <w:szCs w:val="24"/>
          <w:lang w:val="en-GB"/>
        </w:rPr>
        <w:t xml:space="preserve"> those</w:t>
      </w:r>
      <w:r w:rsidR="00FA7858">
        <w:rPr>
          <w:sz w:val="24"/>
          <w:szCs w:val="24"/>
          <w:lang w:val="en-GB"/>
        </w:rPr>
        <w:t xml:space="preserve"> larger</w:t>
      </w:r>
      <w:r>
        <w:rPr>
          <w:sz w:val="24"/>
          <w:szCs w:val="24"/>
          <w:lang w:val="en-GB"/>
        </w:rPr>
        <w:t xml:space="preserve"> creators who fall within </w:t>
      </w:r>
      <w:r w:rsidR="00FA7858">
        <w:rPr>
          <w:sz w:val="24"/>
          <w:szCs w:val="24"/>
          <w:lang w:val="en-GB"/>
        </w:rPr>
        <w:t xml:space="preserve">the conception of </w:t>
      </w:r>
      <w:r w:rsidR="0055760B">
        <w:rPr>
          <w:sz w:val="24"/>
          <w:szCs w:val="24"/>
          <w:lang w:val="en-GB"/>
        </w:rPr>
        <w:t>on-demand services could</w:t>
      </w:r>
      <w:r>
        <w:rPr>
          <w:sz w:val="24"/>
          <w:szCs w:val="24"/>
          <w:lang w:val="en-GB"/>
        </w:rPr>
        <w:t xml:space="preserve"> be subject to a host of new </w:t>
      </w:r>
      <w:r w:rsidR="00FA7858">
        <w:rPr>
          <w:sz w:val="24"/>
          <w:szCs w:val="24"/>
          <w:lang w:val="en-GB"/>
        </w:rPr>
        <w:t xml:space="preserve">requirements ranging from </w:t>
      </w:r>
      <w:r w:rsidR="0055760B">
        <w:rPr>
          <w:sz w:val="24"/>
          <w:szCs w:val="24"/>
          <w:lang w:val="en-GB"/>
        </w:rPr>
        <w:t>identification of provid</w:t>
      </w:r>
      <w:r w:rsidR="0055760B" w:rsidRPr="00E1427E">
        <w:rPr>
          <w:sz w:val="24"/>
          <w:szCs w:val="24"/>
          <w:lang w:val="en-GB"/>
        </w:rPr>
        <w:t xml:space="preserve">ers </w:t>
      </w:r>
      <w:r w:rsidR="00FA7858" w:rsidRPr="00E1427E">
        <w:rPr>
          <w:sz w:val="24"/>
          <w:szCs w:val="24"/>
          <w:lang w:val="en-GB"/>
        </w:rPr>
        <w:t xml:space="preserve">to </w:t>
      </w:r>
      <w:r w:rsidR="0055760B" w:rsidRPr="00E1427E">
        <w:rPr>
          <w:sz w:val="24"/>
          <w:szCs w:val="24"/>
          <w:lang w:val="en-GB"/>
        </w:rPr>
        <w:t>promotion</w:t>
      </w:r>
      <w:r w:rsidR="0055760B">
        <w:rPr>
          <w:sz w:val="24"/>
          <w:szCs w:val="24"/>
          <w:lang w:val="en-GB"/>
        </w:rPr>
        <w:t xml:space="preserve"> of European works provisions.</w:t>
      </w:r>
      <w:r w:rsidR="0055760B">
        <w:rPr>
          <w:rStyle w:val="FootnoteReference"/>
          <w:sz w:val="24"/>
          <w:szCs w:val="24"/>
          <w:lang w:val="en-GB"/>
        </w:rPr>
        <w:footnoteReference w:id="67"/>
      </w:r>
      <w:r w:rsidR="0055760B">
        <w:rPr>
          <w:sz w:val="24"/>
          <w:szCs w:val="24"/>
          <w:lang w:val="en-GB"/>
        </w:rPr>
        <w:t xml:space="preserve"> Overall, it is submitted that for content creators, these new obligations will mostly be provided via their platforms although larger channels may find themselves as the implementers of the new requirements. </w:t>
      </w:r>
      <w:r w:rsidR="00E1427E">
        <w:rPr>
          <w:sz w:val="24"/>
          <w:szCs w:val="24"/>
          <w:lang w:val="en-GB"/>
        </w:rPr>
        <w:t xml:space="preserve">The author posits that these new regulations are </w:t>
      </w:r>
      <w:r w:rsidR="00E1427E">
        <w:rPr>
          <w:sz w:val="24"/>
          <w:szCs w:val="24"/>
          <w:lang w:val="en-GB"/>
        </w:rPr>
        <w:lastRenderedPageBreak/>
        <w:t xml:space="preserve">appropriate given the power these new media providers have over their followers and reflects the </w:t>
      </w:r>
      <w:r w:rsidR="00CA1BB1">
        <w:rPr>
          <w:sz w:val="24"/>
          <w:szCs w:val="24"/>
          <w:lang w:val="en-GB"/>
        </w:rPr>
        <w:t>AVMSD</w:t>
      </w:r>
      <w:r w:rsidR="00E1427E">
        <w:rPr>
          <w:sz w:val="24"/>
          <w:szCs w:val="24"/>
          <w:lang w:val="en-GB"/>
        </w:rPr>
        <w:t xml:space="preserve">’s </w:t>
      </w:r>
      <w:r w:rsidR="00E1427E" w:rsidRPr="000E2B95">
        <w:rPr>
          <w:sz w:val="24"/>
          <w:szCs w:val="24"/>
          <w:lang w:val="en-GB"/>
        </w:rPr>
        <w:t>ambitious attempt to define a new approach for media regulation in the digital age.</w:t>
      </w:r>
    </w:p>
    <w:p w14:paraId="59DD5AFB" w14:textId="666C9F1A" w:rsidR="00750EEA" w:rsidRPr="000E2B95" w:rsidRDefault="00750EEA" w:rsidP="003448F7">
      <w:pPr>
        <w:spacing w:line="360" w:lineRule="auto"/>
        <w:jc w:val="center"/>
        <w:rPr>
          <w:b/>
          <w:bCs/>
          <w:sz w:val="24"/>
          <w:szCs w:val="24"/>
          <w:lang w:val="en-GB"/>
        </w:rPr>
      </w:pPr>
      <w:r w:rsidRPr="000E2B95">
        <w:rPr>
          <w:b/>
          <w:bCs/>
          <w:sz w:val="24"/>
          <w:szCs w:val="24"/>
          <w:lang w:val="en-GB"/>
        </w:rPr>
        <w:t>P</w:t>
      </w:r>
      <w:r w:rsidR="00486678" w:rsidRPr="000E2B95">
        <w:rPr>
          <w:b/>
          <w:bCs/>
          <w:sz w:val="24"/>
          <w:szCs w:val="24"/>
          <w:lang w:val="en-GB"/>
        </w:rPr>
        <w:t>art</w:t>
      </w:r>
      <w:r w:rsidRPr="000E2B95">
        <w:rPr>
          <w:b/>
          <w:bCs/>
          <w:sz w:val="24"/>
          <w:szCs w:val="24"/>
          <w:lang w:val="en-GB"/>
        </w:rPr>
        <w:t xml:space="preserve"> V: </w:t>
      </w:r>
      <w:r w:rsidR="00AB49EE" w:rsidRPr="000E2B95">
        <w:rPr>
          <w:b/>
          <w:bCs/>
          <w:sz w:val="24"/>
          <w:szCs w:val="24"/>
          <w:lang w:val="en-GB"/>
        </w:rPr>
        <w:t>Critical</w:t>
      </w:r>
      <w:r w:rsidR="00A70674" w:rsidRPr="000E2B95">
        <w:rPr>
          <w:b/>
          <w:bCs/>
          <w:sz w:val="24"/>
          <w:szCs w:val="24"/>
          <w:lang w:val="en-GB"/>
        </w:rPr>
        <w:t xml:space="preserve"> Analysis and Conclusion</w:t>
      </w:r>
      <w:r w:rsidRPr="000E2B95">
        <w:rPr>
          <w:b/>
          <w:bCs/>
          <w:sz w:val="24"/>
          <w:szCs w:val="24"/>
          <w:lang w:val="en-GB"/>
        </w:rPr>
        <w:t xml:space="preserve"> </w:t>
      </w:r>
    </w:p>
    <w:p w14:paraId="55D0F667" w14:textId="6BD89E04" w:rsidR="0057563B" w:rsidRDefault="00B662CD" w:rsidP="003448F7">
      <w:pPr>
        <w:spacing w:line="360" w:lineRule="auto"/>
        <w:jc w:val="both"/>
        <w:rPr>
          <w:sz w:val="24"/>
          <w:szCs w:val="24"/>
          <w:lang w:val="en-GB"/>
        </w:rPr>
      </w:pPr>
      <w:r w:rsidRPr="000E2B95">
        <w:rPr>
          <w:sz w:val="24"/>
          <w:szCs w:val="24"/>
          <w:lang w:val="en-GB"/>
        </w:rPr>
        <w:t>This article has aimed to set out</w:t>
      </w:r>
      <w:r w:rsidR="003411F0" w:rsidRPr="000E2B95">
        <w:rPr>
          <w:sz w:val="24"/>
          <w:szCs w:val="24"/>
          <w:lang w:val="en-GB"/>
        </w:rPr>
        <w:t xml:space="preserve"> and analyse</w:t>
      </w:r>
      <w:r w:rsidRPr="000E2B95">
        <w:rPr>
          <w:sz w:val="24"/>
          <w:szCs w:val="24"/>
          <w:lang w:val="en-GB"/>
        </w:rPr>
        <w:t xml:space="preserve"> the background to the </w:t>
      </w:r>
      <w:r w:rsidR="00CA1BB1" w:rsidRPr="000E2B95">
        <w:rPr>
          <w:sz w:val="24"/>
          <w:szCs w:val="24"/>
          <w:lang w:val="en-GB"/>
        </w:rPr>
        <w:t>AVMSD</w:t>
      </w:r>
      <w:r w:rsidRPr="000E2B95">
        <w:rPr>
          <w:sz w:val="24"/>
          <w:szCs w:val="24"/>
          <w:lang w:val="en-GB"/>
        </w:rPr>
        <w:t xml:space="preserve">’s regulation of VSPs, the scope and substantive obligations that it places on them as well as the </w:t>
      </w:r>
      <w:r w:rsidR="003411F0" w:rsidRPr="000E2B95">
        <w:rPr>
          <w:sz w:val="24"/>
          <w:szCs w:val="24"/>
          <w:lang w:val="en-GB"/>
        </w:rPr>
        <w:t xml:space="preserve">impact that the Directive will have on the creators who make their livelihoods on said platforms. What emerges from this analysis is that the </w:t>
      </w:r>
      <w:r w:rsidR="00CA1BB1" w:rsidRPr="000E2B95">
        <w:rPr>
          <w:sz w:val="24"/>
          <w:szCs w:val="24"/>
          <w:lang w:val="en-GB"/>
        </w:rPr>
        <w:t>AVMSD</w:t>
      </w:r>
      <w:r w:rsidR="003411F0" w:rsidRPr="000E2B95">
        <w:rPr>
          <w:sz w:val="24"/>
          <w:szCs w:val="24"/>
          <w:lang w:val="en-GB"/>
        </w:rPr>
        <w:t xml:space="preserve"> </w:t>
      </w:r>
      <w:r w:rsidR="005B5668" w:rsidRPr="000E2B95">
        <w:rPr>
          <w:sz w:val="24"/>
          <w:szCs w:val="24"/>
          <w:lang w:val="en-GB"/>
        </w:rPr>
        <w:t>represents</w:t>
      </w:r>
      <w:r w:rsidR="005B5668">
        <w:rPr>
          <w:sz w:val="24"/>
          <w:szCs w:val="24"/>
          <w:lang w:val="en-GB"/>
        </w:rPr>
        <w:t xml:space="preserve"> a sea change in the regulation of audiovisual media services, in particular in relation to VSPs. </w:t>
      </w:r>
      <w:r w:rsidR="00CA45A7">
        <w:rPr>
          <w:sz w:val="24"/>
          <w:szCs w:val="24"/>
          <w:lang w:val="en-GB"/>
        </w:rPr>
        <w:t>The Directive is a key pillar in the digital single market strategy and provides a robust regulatory framework for digital media content.</w:t>
      </w:r>
      <w:r w:rsidR="005B5668">
        <w:rPr>
          <w:sz w:val="24"/>
          <w:szCs w:val="24"/>
          <w:lang w:val="en-GB"/>
        </w:rPr>
        <w:t xml:space="preserve"> Without doubt, given the previous uncertainty, the revised </w:t>
      </w:r>
      <w:r w:rsidR="00CA1BB1">
        <w:rPr>
          <w:sz w:val="24"/>
          <w:szCs w:val="24"/>
          <w:lang w:val="en-GB"/>
        </w:rPr>
        <w:t>AVMSD</w:t>
      </w:r>
      <w:r w:rsidR="005B5668">
        <w:rPr>
          <w:sz w:val="24"/>
          <w:szCs w:val="24"/>
          <w:lang w:val="en-GB"/>
        </w:rPr>
        <w:t xml:space="preserve"> is a welcome change to the media regulation of VSPs, firmly and concretely bringing them within the </w:t>
      </w:r>
      <w:r w:rsidR="00AF56BF">
        <w:rPr>
          <w:sz w:val="24"/>
          <w:szCs w:val="24"/>
          <w:lang w:val="en-GB"/>
        </w:rPr>
        <w:t xml:space="preserve">legal framework. </w:t>
      </w:r>
      <w:r w:rsidR="00CD5B50">
        <w:rPr>
          <w:sz w:val="24"/>
          <w:szCs w:val="24"/>
          <w:lang w:val="en-GB"/>
        </w:rPr>
        <w:t xml:space="preserve">The material requirements are also, arguably, to be welcomed. </w:t>
      </w:r>
      <w:r w:rsidR="009C459F">
        <w:rPr>
          <w:sz w:val="24"/>
          <w:szCs w:val="24"/>
          <w:lang w:val="en-GB"/>
        </w:rPr>
        <w:t xml:space="preserve">They help to safeguard users while balancing the goal of maintaining safe harbour principles in a way that is proportionate and that compliments the other key pieces of legislation that make up the digital single market strategy. For creators, the more coherent framework helps to bring legal certainty although issues remain in relation to AI moderation. </w:t>
      </w:r>
      <w:r w:rsidR="005B5668">
        <w:rPr>
          <w:sz w:val="24"/>
          <w:szCs w:val="24"/>
          <w:lang w:val="en-GB"/>
        </w:rPr>
        <w:t xml:space="preserve">Not all assessments of the Directive have been positive. Indeed, scholars have repeatedly voiced concerns about the potential for significant divergence between states in the practical implementation of </w:t>
      </w:r>
      <w:r w:rsidR="00AF56BF">
        <w:rPr>
          <w:sz w:val="24"/>
          <w:szCs w:val="24"/>
          <w:lang w:val="en-GB"/>
        </w:rPr>
        <w:t>certain measures.</w:t>
      </w:r>
      <w:r w:rsidR="00AF56BF">
        <w:rPr>
          <w:rStyle w:val="FootnoteReference"/>
          <w:sz w:val="24"/>
          <w:szCs w:val="24"/>
          <w:lang w:val="en-GB"/>
        </w:rPr>
        <w:footnoteReference w:id="68"/>
      </w:r>
      <w:r w:rsidR="00AF56BF">
        <w:rPr>
          <w:sz w:val="24"/>
          <w:szCs w:val="24"/>
          <w:lang w:val="en-GB"/>
        </w:rPr>
        <w:t xml:space="preserve"> This is, it is submitted, the greatest issue that could arise as the effects of the Directive play out. </w:t>
      </w:r>
      <w:r w:rsidR="0057563B">
        <w:rPr>
          <w:sz w:val="24"/>
          <w:szCs w:val="24"/>
          <w:lang w:val="en-GB"/>
        </w:rPr>
        <w:t xml:space="preserve">The </w:t>
      </w:r>
      <w:r w:rsidR="00CA1BB1">
        <w:rPr>
          <w:sz w:val="24"/>
          <w:szCs w:val="24"/>
          <w:lang w:val="en-GB"/>
        </w:rPr>
        <w:t>AVMSD</w:t>
      </w:r>
      <w:r w:rsidR="0057563B">
        <w:rPr>
          <w:sz w:val="24"/>
          <w:szCs w:val="24"/>
          <w:lang w:val="en-GB"/>
        </w:rPr>
        <w:t xml:space="preserve"> has</w:t>
      </w:r>
      <w:r w:rsidR="00AF56BF">
        <w:rPr>
          <w:sz w:val="24"/>
          <w:szCs w:val="24"/>
          <w:lang w:val="en-GB"/>
        </w:rPr>
        <w:t xml:space="preserve"> also</w:t>
      </w:r>
      <w:r w:rsidR="0057563B">
        <w:rPr>
          <w:sz w:val="24"/>
          <w:szCs w:val="24"/>
          <w:lang w:val="en-GB"/>
        </w:rPr>
        <w:t xml:space="preserve"> been criticised as </w:t>
      </w:r>
      <w:r w:rsidR="0057563B" w:rsidRPr="003A7256">
        <w:rPr>
          <w:sz w:val="24"/>
          <w:szCs w:val="24"/>
          <w:lang w:val="en-GB"/>
        </w:rPr>
        <w:t xml:space="preserve">incoherent and </w:t>
      </w:r>
      <w:r w:rsidR="004F4E20" w:rsidRPr="003A7256">
        <w:rPr>
          <w:sz w:val="24"/>
          <w:szCs w:val="24"/>
          <w:lang w:val="en-GB"/>
        </w:rPr>
        <w:t>having</w:t>
      </w:r>
      <w:r w:rsidR="004F4E20">
        <w:rPr>
          <w:sz w:val="24"/>
          <w:szCs w:val="24"/>
          <w:lang w:val="en-GB"/>
        </w:rPr>
        <w:t xml:space="preserve"> the potential to damage the audiovisual media industry by over-regulating, particularly on smaller </w:t>
      </w:r>
      <w:r w:rsidR="003A7256">
        <w:rPr>
          <w:sz w:val="24"/>
          <w:szCs w:val="24"/>
          <w:lang w:val="en-GB"/>
        </w:rPr>
        <w:t>platforms</w:t>
      </w:r>
      <w:r w:rsidR="004F4E20">
        <w:rPr>
          <w:sz w:val="24"/>
          <w:szCs w:val="24"/>
          <w:lang w:val="en-GB"/>
        </w:rPr>
        <w:t>.</w:t>
      </w:r>
      <w:r w:rsidR="004F4E20">
        <w:rPr>
          <w:rStyle w:val="FootnoteReference"/>
          <w:sz w:val="24"/>
          <w:szCs w:val="24"/>
          <w:lang w:val="en-GB"/>
        </w:rPr>
        <w:footnoteReference w:id="69"/>
      </w:r>
    </w:p>
    <w:p w14:paraId="5BE1B29B" w14:textId="5CB53497" w:rsidR="0057563B" w:rsidRDefault="00F245FE" w:rsidP="003448F7">
      <w:pPr>
        <w:spacing w:line="360" w:lineRule="auto"/>
        <w:jc w:val="both"/>
        <w:rPr>
          <w:sz w:val="24"/>
          <w:szCs w:val="24"/>
          <w:lang w:val="en-GB"/>
        </w:rPr>
      </w:pPr>
      <w:r>
        <w:rPr>
          <w:sz w:val="24"/>
          <w:szCs w:val="24"/>
          <w:lang w:val="en-GB"/>
        </w:rPr>
        <w:t xml:space="preserve">On balance, the author is of the view that the Directive does achieve its goals of safeguarding audiences with a tailored framework for VSPs. While issues do exist, </w:t>
      </w:r>
      <w:r w:rsidR="00CA45A7">
        <w:rPr>
          <w:sz w:val="24"/>
          <w:szCs w:val="24"/>
          <w:lang w:val="en-GB"/>
        </w:rPr>
        <w:t xml:space="preserve">these mostly come down to policy choices by Member States which can be corrected and aligned. Furthermore, by setting a baseline for content standards, the </w:t>
      </w:r>
      <w:r w:rsidR="00CA1BB1">
        <w:rPr>
          <w:sz w:val="24"/>
          <w:szCs w:val="24"/>
          <w:lang w:val="en-GB"/>
        </w:rPr>
        <w:t>AVMSD</w:t>
      </w:r>
      <w:r w:rsidR="00CA45A7">
        <w:rPr>
          <w:sz w:val="24"/>
          <w:szCs w:val="24"/>
          <w:lang w:val="en-GB"/>
        </w:rPr>
        <w:t xml:space="preserve"> contributes to efforts to create a safer and rights-respecting online ecosystem where both users and creators are protected.</w:t>
      </w:r>
    </w:p>
    <w:p w14:paraId="14BF1BC7" w14:textId="44A3863C" w:rsidR="00524874" w:rsidRDefault="00BB0B11" w:rsidP="003448F7">
      <w:pPr>
        <w:spacing w:line="360" w:lineRule="auto"/>
        <w:jc w:val="both"/>
        <w:rPr>
          <w:sz w:val="24"/>
          <w:szCs w:val="24"/>
          <w:lang w:val="en-GB"/>
        </w:rPr>
      </w:pPr>
      <w:r>
        <w:rPr>
          <w:sz w:val="24"/>
          <w:szCs w:val="24"/>
          <w:lang w:val="en-GB"/>
        </w:rPr>
        <w:lastRenderedPageBreak/>
        <w:t xml:space="preserve">Much will depend on the practical implementation of the </w:t>
      </w:r>
      <w:r w:rsidR="00CA1BB1">
        <w:rPr>
          <w:sz w:val="24"/>
          <w:szCs w:val="24"/>
          <w:lang w:val="en-GB"/>
        </w:rPr>
        <w:t>AVMSD</w:t>
      </w:r>
      <w:r>
        <w:rPr>
          <w:sz w:val="24"/>
          <w:szCs w:val="24"/>
          <w:lang w:val="en-GB"/>
        </w:rPr>
        <w:t>, which is still yet to be fully transposed by all Member States. In particular, the Irish transposition and practical enforcement will be of great interest due to the presence of a large number of VSPs, including YouTube, Facebook, TikTok and others.</w:t>
      </w:r>
      <w:r>
        <w:rPr>
          <w:rStyle w:val="FootnoteReference"/>
          <w:sz w:val="24"/>
          <w:szCs w:val="24"/>
          <w:lang w:val="en-GB"/>
        </w:rPr>
        <w:footnoteReference w:id="70"/>
      </w:r>
      <w:r>
        <w:rPr>
          <w:sz w:val="24"/>
          <w:szCs w:val="24"/>
          <w:lang w:val="en-GB"/>
        </w:rPr>
        <w:t xml:space="preserve"> Concerns are present in this regard, in particular as to whether Ireland has the regulatory capacity to handle such large and powerful platforms</w:t>
      </w:r>
      <w:r w:rsidR="00743C41">
        <w:rPr>
          <w:sz w:val="24"/>
          <w:szCs w:val="24"/>
          <w:lang w:val="en-GB"/>
        </w:rPr>
        <w:t xml:space="preserve"> given the small size of the newly proposed regulator,</w:t>
      </w:r>
      <w:r w:rsidR="002C7A05">
        <w:rPr>
          <w:rStyle w:val="FootnoteReference"/>
          <w:sz w:val="24"/>
          <w:szCs w:val="24"/>
          <w:lang w:val="en-GB"/>
        </w:rPr>
        <w:footnoteReference w:id="71"/>
      </w:r>
      <w:r w:rsidR="00743C41">
        <w:rPr>
          <w:sz w:val="24"/>
          <w:szCs w:val="24"/>
          <w:lang w:val="en-GB"/>
        </w:rPr>
        <w:t xml:space="preserve"> </w:t>
      </w:r>
      <w:r w:rsidR="00743C41" w:rsidRPr="00743C41">
        <w:rPr>
          <w:sz w:val="24"/>
          <w:szCs w:val="24"/>
          <w:lang w:val="en-GB"/>
        </w:rPr>
        <w:t>An Coimisiún na Meán</w:t>
      </w:r>
      <w:r w:rsidR="00743C41">
        <w:rPr>
          <w:sz w:val="24"/>
          <w:szCs w:val="24"/>
          <w:lang w:val="en-GB"/>
        </w:rPr>
        <w:t xml:space="preserve"> (Media Commission). From a European perspective, it would be desirable to avoid a situation similar to that in the field of data protection, where the Irish Data Protection Commission has been repeatedly criticised for its lacklustre regulation of some of the world’s largest tech companies.</w:t>
      </w:r>
      <w:r w:rsidR="00743C41">
        <w:rPr>
          <w:rStyle w:val="FootnoteReference"/>
          <w:sz w:val="24"/>
          <w:szCs w:val="24"/>
          <w:lang w:val="en-GB"/>
        </w:rPr>
        <w:footnoteReference w:id="72"/>
      </w:r>
      <w:r w:rsidR="00AB49EE">
        <w:rPr>
          <w:sz w:val="24"/>
          <w:szCs w:val="24"/>
          <w:lang w:val="en-GB"/>
        </w:rPr>
        <w:t xml:space="preserve"> </w:t>
      </w:r>
      <w:r w:rsidR="000F50E2">
        <w:rPr>
          <w:sz w:val="24"/>
          <w:szCs w:val="24"/>
          <w:lang w:val="en-GB"/>
        </w:rPr>
        <w:t xml:space="preserve">Perhaps, it is submitted, the Commission should be given a greater role in the regulatory framework in order to prevent the Irish regulator from becoming overwhelmed. </w:t>
      </w:r>
      <w:r>
        <w:rPr>
          <w:sz w:val="24"/>
          <w:szCs w:val="24"/>
          <w:lang w:val="en-GB"/>
        </w:rPr>
        <w:t>A potential model for such a scenario could be found in the (soon to be adopted) D</w:t>
      </w:r>
      <w:r w:rsidR="00F007AB">
        <w:rPr>
          <w:sz w:val="24"/>
          <w:szCs w:val="24"/>
          <w:lang w:val="en-GB"/>
        </w:rPr>
        <w:t>SA</w:t>
      </w:r>
      <w:r>
        <w:rPr>
          <w:sz w:val="24"/>
          <w:szCs w:val="24"/>
          <w:lang w:val="en-GB"/>
        </w:rPr>
        <w:t xml:space="preserve"> proposal.</w:t>
      </w:r>
      <w:r w:rsidR="002C7A05">
        <w:rPr>
          <w:rStyle w:val="FootnoteReference"/>
          <w:sz w:val="24"/>
          <w:szCs w:val="24"/>
          <w:lang w:val="en-GB"/>
        </w:rPr>
        <w:footnoteReference w:id="73"/>
      </w:r>
      <w:r>
        <w:rPr>
          <w:sz w:val="24"/>
          <w:szCs w:val="24"/>
          <w:lang w:val="en-GB"/>
        </w:rPr>
        <w:t xml:space="preserve"> Under that proposal, the Commission would have responsibility</w:t>
      </w:r>
      <w:r w:rsidR="004F3C80">
        <w:rPr>
          <w:sz w:val="24"/>
          <w:szCs w:val="24"/>
          <w:lang w:val="en-GB"/>
        </w:rPr>
        <w:t xml:space="preserve"> for regulating very-large online platforms</w:t>
      </w:r>
      <w:r>
        <w:rPr>
          <w:sz w:val="24"/>
          <w:szCs w:val="24"/>
          <w:lang w:val="en-GB"/>
        </w:rPr>
        <w:t>, in co-operation</w:t>
      </w:r>
      <w:r w:rsidR="004F3C80">
        <w:rPr>
          <w:sz w:val="24"/>
          <w:szCs w:val="24"/>
          <w:lang w:val="en-GB"/>
        </w:rPr>
        <w:t xml:space="preserve"> with the relevant Member State.</w:t>
      </w:r>
      <w:r w:rsidR="004F3C80">
        <w:rPr>
          <w:rStyle w:val="FootnoteReference"/>
          <w:sz w:val="24"/>
          <w:szCs w:val="24"/>
          <w:lang w:val="en-GB"/>
        </w:rPr>
        <w:footnoteReference w:id="74"/>
      </w:r>
      <w:r w:rsidR="00743C41">
        <w:rPr>
          <w:sz w:val="24"/>
          <w:szCs w:val="24"/>
          <w:lang w:val="en-GB"/>
        </w:rPr>
        <w:t xml:space="preserve"> This, it is argued, may represent a more robust policy option</w:t>
      </w:r>
      <w:r w:rsidR="002C7A05">
        <w:rPr>
          <w:sz w:val="24"/>
          <w:szCs w:val="24"/>
          <w:lang w:val="en-GB"/>
        </w:rPr>
        <w:t xml:space="preserve"> for VSP regulation</w:t>
      </w:r>
      <w:r w:rsidR="00743C41">
        <w:rPr>
          <w:sz w:val="24"/>
          <w:szCs w:val="24"/>
          <w:lang w:val="en-GB"/>
        </w:rPr>
        <w:t xml:space="preserve">, as it strengthens the regulatory enforcement capacity in order to ensure the most effective </w:t>
      </w:r>
      <w:r w:rsidR="002C7A05">
        <w:rPr>
          <w:sz w:val="24"/>
          <w:szCs w:val="24"/>
          <w:lang w:val="en-GB"/>
        </w:rPr>
        <w:t xml:space="preserve">practical implementation of the </w:t>
      </w:r>
      <w:r w:rsidR="00CA1BB1">
        <w:rPr>
          <w:sz w:val="24"/>
          <w:szCs w:val="24"/>
          <w:lang w:val="en-GB"/>
        </w:rPr>
        <w:t>AVMSD</w:t>
      </w:r>
      <w:r w:rsidR="002C7A05">
        <w:rPr>
          <w:sz w:val="24"/>
          <w:szCs w:val="24"/>
          <w:lang w:val="en-GB"/>
        </w:rPr>
        <w:t xml:space="preserve">’s safeguards. </w:t>
      </w:r>
    </w:p>
    <w:p w14:paraId="5121C68C" w14:textId="303CBA50" w:rsidR="00524874" w:rsidRDefault="00524874" w:rsidP="003448F7">
      <w:pPr>
        <w:spacing w:line="360" w:lineRule="auto"/>
        <w:jc w:val="both"/>
        <w:rPr>
          <w:sz w:val="24"/>
          <w:szCs w:val="24"/>
          <w:lang w:val="en-GB"/>
        </w:rPr>
      </w:pPr>
      <w:r>
        <w:rPr>
          <w:sz w:val="24"/>
          <w:szCs w:val="24"/>
          <w:lang w:val="en-GB"/>
        </w:rPr>
        <w:t xml:space="preserve">In </w:t>
      </w:r>
      <w:r w:rsidRPr="004F4E20">
        <w:rPr>
          <w:sz w:val="24"/>
          <w:szCs w:val="24"/>
          <w:lang w:val="en-GB"/>
        </w:rPr>
        <w:t xml:space="preserve">conclusion, the </w:t>
      </w:r>
      <w:r w:rsidR="00CA1BB1">
        <w:rPr>
          <w:sz w:val="24"/>
          <w:szCs w:val="24"/>
          <w:lang w:val="en-GB"/>
        </w:rPr>
        <w:t>AVMSD</w:t>
      </w:r>
      <w:r w:rsidRPr="004F4E20">
        <w:rPr>
          <w:sz w:val="24"/>
          <w:szCs w:val="24"/>
          <w:lang w:val="en-GB"/>
        </w:rPr>
        <w:t xml:space="preserve"> </w:t>
      </w:r>
      <w:r w:rsidR="00AB49EE" w:rsidRPr="004F4E20">
        <w:rPr>
          <w:sz w:val="24"/>
          <w:szCs w:val="24"/>
          <w:lang w:val="en-GB"/>
        </w:rPr>
        <w:t xml:space="preserve">marks a clear turning point in the regulation of audiovisual media service in the EU. </w:t>
      </w:r>
      <w:r w:rsidR="00F245FE" w:rsidRPr="004F4E20">
        <w:rPr>
          <w:sz w:val="24"/>
          <w:szCs w:val="24"/>
          <w:lang w:val="en-GB"/>
        </w:rPr>
        <w:t>By bringing VSPs within the regulatory framework, the Directive makes great strides in achieving its goal of</w:t>
      </w:r>
      <w:r w:rsidR="00F245FE">
        <w:rPr>
          <w:sz w:val="24"/>
          <w:szCs w:val="24"/>
          <w:lang w:val="en-GB"/>
        </w:rPr>
        <w:t xml:space="preserve"> </w:t>
      </w:r>
      <w:r w:rsidR="004F4E20">
        <w:rPr>
          <w:sz w:val="24"/>
          <w:szCs w:val="24"/>
          <w:lang w:val="en-GB"/>
        </w:rPr>
        <w:t xml:space="preserve">a robust and comprehensive regulatory regime for audiovisual media services in Europe. Through the introduction of content obligations and safeguards for users, the Directive now ensures that VSPs have legal clarity and can become regulated players in the market on par with other providers. In a time of regulatory flux, the </w:t>
      </w:r>
      <w:r w:rsidR="00CA1BB1">
        <w:rPr>
          <w:sz w:val="24"/>
          <w:szCs w:val="24"/>
          <w:lang w:val="en-GB"/>
        </w:rPr>
        <w:t>AVMSD</w:t>
      </w:r>
      <w:r w:rsidR="004F4E20">
        <w:rPr>
          <w:sz w:val="24"/>
          <w:szCs w:val="24"/>
          <w:lang w:val="en-GB"/>
        </w:rPr>
        <w:t xml:space="preserve"> acts as the best way to protect and promote European media in the digital age.</w:t>
      </w:r>
    </w:p>
    <w:p w14:paraId="24C46109" w14:textId="1CCB652C" w:rsidR="002E6AF0" w:rsidRDefault="002E6AF0" w:rsidP="00C63C80">
      <w:pPr>
        <w:jc w:val="both"/>
        <w:rPr>
          <w:sz w:val="24"/>
          <w:szCs w:val="24"/>
          <w:lang w:val="en-GB"/>
        </w:rPr>
      </w:pPr>
    </w:p>
    <w:p w14:paraId="41F506BA" w14:textId="700FDAD2" w:rsidR="002E6AF0" w:rsidRDefault="002E6AF0" w:rsidP="00C63C80">
      <w:pPr>
        <w:jc w:val="both"/>
        <w:rPr>
          <w:sz w:val="24"/>
          <w:szCs w:val="24"/>
          <w:lang w:val="en-GB"/>
        </w:rPr>
      </w:pPr>
    </w:p>
    <w:p w14:paraId="2B4A8E8B" w14:textId="7778E033" w:rsidR="002E6AF0" w:rsidRDefault="002E6AF0" w:rsidP="00C63C80">
      <w:pPr>
        <w:jc w:val="both"/>
        <w:rPr>
          <w:sz w:val="24"/>
          <w:szCs w:val="24"/>
          <w:lang w:val="en-GB"/>
        </w:rPr>
      </w:pPr>
    </w:p>
    <w:p w14:paraId="733E0CBF" w14:textId="2E7BDDEB" w:rsidR="00E71F00" w:rsidRDefault="00E71F00" w:rsidP="00C63C80">
      <w:pPr>
        <w:jc w:val="both"/>
        <w:rPr>
          <w:sz w:val="24"/>
          <w:szCs w:val="24"/>
          <w:lang w:val="en-GB"/>
        </w:rPr>
      </w:pPr>
    </w:p>
    <w:p w14:paraId="60FD54D0" w14:textId="77777777" w:rsidR="00E71F00" w:rsidRDefault="00E71F00" w:rsidP="00C63C80">
      <w:pPr>
        <w:jc w:val="both"/>
        <w:rPr>
          <w:sz w:val="24"/>
          <w:szCs w:val="24"/>
          <w:lang w:val="en-GB"/>
        </w:rPr>
      </w:pPr>
    </w:p>
    <w:p w14:paraId="2341EF2C" w14:textId="3B23109C" w:rsidR="002E6AF0" w:rsidRDefault="002E6AF0" w:rsidP="00B80C6C">
      <w:pPr>
        <w:jc w:val="center"/>
        <w:rPr>
          <w:sz w:val="24"/>
          <w:szCs w:val="24"/>
          <w:u w:val="single"/>
          <w:lang w:val="en-GB"/>
        </w:rPr>
      </w:pPr>
      <w:r w:rsidRPr="002E6AF0">
        <w:rPr>
          <w:sz w:val="24"/>
          <w:szCs w:val="24"/>
          <w:u w:val="single"/>
          <w:lang w:val="en-GB"/>
        </w:rPr>
        <w:lastRenderedPageBreak/>
        <w:t>Bibliography</w:t>
      </w:r>
    </w:p>
    <w:p w14:paraId="4B4105CA" w14:textId="77777777" w:rsidR="00B80C6C" w:rsidRPr="00B80C6C" w:rsidRDefault="00B80C6C" w:rsidP="00B80C6C">
      <w:pPr>
        <w:jc w:val="center"/>
        <w:rPr>
          <w:sz w:val="24"/>
          <w:szCs w:val="24"/>
          <w:u w:val="single"/>
          <w:lang w:val="en-GB"/>
        </w:rPr>
      </w:pPr>
    </w:p>
    <w:p w14:paraId="669CECC9" w14:textId="5EA55E31" w:rsidR="002E6AF0" w:rsidRPr="00762EAA" w:rsidRDefault="002E6AF0" w:rsidP="002E6AF0">
      <w:pPr>
        <w:ind w:left="720" w:hanging="360"/>
        <w:jc w:val="center"/>
        <w:rPr>
          <w:u w:val="single"/>
        </w:rPr>
      </w:pPr>
      <w:r>
        <w:rPr>
          <w:u w:val="single"/>
        </w:rPr>
        <w:t xml:space="preserve">Table of </w:t>
      </w:r>
      <w:r w:rsidRPr="00762EAA">
        <w:rPr>
          <w:u w:val="single"/>
        </w:rPr>
        <w:t>Legislation</w:t>
      </w:r>
    </w:p>
    <w:p w14:paraId="2D34D920" w14:textId="77777777" w:rsidR="002E6AF0" w:rsidRPr="00762EAA" w:rsidRDefault="002E6AF0" w:rsidP="002E6AF0">
      <w:pPr>
        <w:pStyle w:val="ListParagraph"/>
        <w:numPr>
          <w:ilvl w:val="0"/>
          <w:numId w:val="1"/>
        </w:numPr>
      </w:pPr>
      <w:r w:rsidRPr="00762EAA">
        <w:t xml:space="preserve">  Council Directive 89/552/EEC of 3 October 1989 on the coordination of certain provisions laid down by law, regulation or administrative action in Member States concerning the pursuit of television broadcasting activities (Television Without Frontiers Directive).  </w:t>
      </w:r>
    </w:p>
    <w:p w14:paraId="5F7A6F00" w14:textId="77777777" w:rsidR="002E6AF0" w:rsidRPr="00762EAA" w:rsidRDefault="002E6AF0" w:rsidP="002E6AF0">
      <w:pPr>
        <w:pStyle w:val="ListParagraph"/>
        <w:numPr>
          <w:ilvl w:val="0"/>
          <w:numId w:val="1"/>
        </w:numPr>
      </w:pPr>
      <w:r w:rsidRPr="00762EAA">
        <w:t xml:space="preserve">  Directive (EU) 2018/1808 of the European Parliament and of the Council of 14 November 2018 amending Directive 2010/13/EU on the coordination of certain provisions laid down by law, regulation or administrative action in Member States concerning the provision of audiovisual media services (Audiovisual Media Services Directive) in view of changing market realities PE/33/2018/REV/1 OJ L 303, 28.11.2018 (herein, ‘AVMSD’)</w:t>
      </w:r>
    </w:p>
    <w:p w14:paraId="77012CB0" w14:textId="77777777" w:rsidR="002E6AF0" w:rsidRPr="00762EAA" w:rsidRDefault="002E6AF0" w:rsidP="002E6AF0">
      <w:pPr>
        <w:pStyle w:val="ListParagraph"/>
        <w:numPr>
          <w:ilvl w:val="0"/>
          <w:numId w:val="1"/>
        </w:numPr>
      </w:pPr>
      <w:r w:rsidRPr="00762EAA">
        <w:t xml:space="preserve">  Directive (EU) 2019/790 of the European Parliament and of the Council of 17 April 2019 on copyright and related rights in the Digital Single Market and amending Directives 96/9/EC and 2001/29/EC (Text with EEA relevance.) PE/51/2019/REV/1 OJ L 130, 17.5.2019</w:t>
      </w:r>
    </w:p>
    <w:p w14:paraId="031C460A" w14:textId="77777777" w:rsidR="002E6AF0" w:rsidRPr="00762EAA" w:rsidRDefault="002E6AF0" w:rsidP="002E6AF0">
      <w:pPr>
        <w:pStyle w:val="ListParagraph"/>
        <w:numPr>
          <w:ilvl w:val="0"/>
          <w:numId w:val="1"/>
        </w:numPr>
      </w:pPr>
      <w:r w:rsidRPr="00762EAA">
        <w:t xml:space="preserve">  Directive 2000/31/EC of the European Parliament and of the Council of 8 June 2000 on certain legal aspects of information society services, in particular electronic commerce, in the Internal Market ('Directive on electronic commerce') O.J. L 178</w:t>
      </w:r>
    </w:p>
    <w:p w14:paraId="6EB7A8E6" w14:textId="77777777" w:rsidR="002E6AF0" w:rsidRPr="00762EAA" w:rsidRDefault="002E6AF0" w:rsidP="002E6AF0">
      <w:pPr>
        <w:pStyle w:val="ListParagraph"/>
        <w:numPr>
          <w:ilvl w:val="0"/>
          <w:numId w:val="1"/>
        </w:numPr>
        <w:rPr>
          <w:lang w:val="de-DE"/>
        </w:rPr>
      </w:pPr>
      <w:r w:rsidRPr="00762EAA">
        <w:rPr>
          <w:lang w:val="de-DE"/>
        </w:rPr>
        <w:t>Gesetz zur Verbesserung der Rechtsdurchsetzung in sozialen Netzwerken, (Federal Law Gazette I, p. 3352 ff. Valid as from 1 October 2017).</w:t>
      </w:r>
    </w:p>
    <w:p w14:paraId="16D77366" w14:textId="77777777" w:rsidR="002E6AF0" w:rsidRPr="00762EAA" w:rsidRDefault="002E6AF0" w:rsidP="002E6AF0">
      <w:pPr>
        <w:pStyle w:val="ListParagraph"/>
        <w:numPr>
          <w:ilvl w:val="0"/>
          <w:numId w:val="1"/>
        </w:numPr>
      </w:pPr>
      <w:r w:rsidRPr="002E6AF0">
        <w:rPr>
          <w:lang w:val="de-DE"/>
        </w:rPr>
        <w:t xml:space="preserve">  </w:t>
      </w:r>
      <w:r w:rsidRPr="00762EAA">
        <w:t>Online Safety and Media Regulation Bill 2020</w:t>
      </w:r>
    </w:p>
    <w:p w14:paraId="6272D390" w14:textId="4C943941" w:rsidR="002E6AF0" w:rsidRPr="00762EAA" w:rsidRDefault="002E6AF0" w:rsidP="002E6AF0">
      <w:pPr>
        <w:pStyle w:val="ListParagraph"/>
        <w:numPr>
          <w:ilvl w:val="0"/>
          <w:numId w:val="1"/>
        </w:numPr>
      </w:pPr>
      <w:r w:rsidRPr="00762EAA">
        <w:t xml:space="preserve">Proposal for a Regulation </w:t>
      </w:r>
      <w:r w:rsidR="00830959">
        <w:t>o</w:t>
      </w:r>
      <w:r w:rsidRPr="00762EAA">
        <w:t>f The European Parliament And Of The Council on a Single Market For Digital Services (Digital Services Act) and amending Directive 2000/31/EC COM/2020/825 final.</w:t>
      </w:r>
    </w:p>
    <w:p w14:paraId="7BC2434D" w14:textId="2FCA5F8B" w:rsidR="002E6AF0" w:rsidRPr="00830959" w:rsidRDefault="00830959" w:rsidP="00830959">
      <w:pPr>
        <w:jc w:val="center"/>
        <w:rPr>
          <w:u w:val="single"/>
          <w:lang w:val="de-DE"/>
        </w:rPr>
      </w:pPr>
      <w:r w:rsidRPr="00830959">
        <w:rPr>
          <w:u w:val="single"/>
          <w:lang w:val="de-DE"/>
        </w:rPr>
        <w:t>Case Law</w:t>
      </w:r>
    </w:p>
    <w:p w14:paraId="61C7696C" w14:textId="77777777" w:rsidR="00830959" w:rsidRPr="00F5332D" w:rsidRDefault="00830959" w:rsidP="00830959">
      <w:pPr>
        <w:pStyle w:val="ListParagraph"/>
        <w:numPr>
          <w:ilvl w:val="0"/>
          <w:numId w:val="1"/>
        </w:numPr>
        <w:rPr>
          <w:lang w:val="de-DE"/>
        </w:rPr>
      </w:pPr>
      <w:r w:rsidRPr="00341F13">
        <w:rPr>
          <w:lang w:val="de-DE"/>
        </w:rPr>
        <w:t xml:space="preserve">  </w:t>
      </w:r>
      <w:r w:rsidRPr="00F5332D">
        <w:rPr>
          <w:lang w:val="de-DE"/>
        </w:rPr>
        <w:t>C-132/17 Peugeot Deutschland GmbH v Deutsche Umwelthilfe eV [2018] ECLI:EU:C:2018:85.</w:t>
      </w:r>
    </w:p>
    <w:p w14:paraId="52E2CC60" w14:textId="02E48AFD" w:rsidR="00830959" w:rsidRPr="00830959" w:rsidRDefault="00830959" w:rsidP="00830959">
      <w:pPr>
        <w:jc w:val="center"/>
        <w:rPr>
          <w:u w:val="single"/>
          <w:lang w:val="de-DE"/>
        </w:rPr>
      </w:pPr>
      <w:r w:rsidRPr="00830959">
        <w:rPr>
          <w:u w:val="single"/>
          <w:lang w:val="de-DE"/>
        </w:rPr>
        <w:t>Books</w:t>
      </w:r>
    </w:p>
    <w:p w14:paraId="08E2E7FE" w14:textId="44E93306" w:rsidR="00830959" w:rsidRPr="00F5332D" w:rsidRDefault="00830959" w:rsidP="00830959">
      <w:pPr>
        <w:pStyle w:val="ListParagraph"/>
        <w:numPr>
          <w:ilvl w:val="0"/>
          <w:numId w:val="1"/>
        </w:numPr>
      </w:pPr>
      <w:r w:rsidRPr="00830959">
        <w:t xml:space="preserve">  </w:t>
      </w:r>
      <w:r w:rsidRPr="00F5332D">
        <w:t>de Cock Buning</w:t>
      </w:r>
      <w:r>
        <w:t xml:space="preserve"> M</w:t>
      </w:r>
      <w:r w:rsidRPr="00F5332D">
        <w:t>, ‘</w:t>
      </w:r>
      <w:r w:rsidRPr="00830959">
        <w:rPr>
          <w:i/>
          <w:iCs/>
        </w:rPr>
        <w:t>Life after the European Audiovisual Media Services Directive: social media influencers through the looking-glass’</w:t>
      </w:r>
      <w:r w:rsidRPr="00F5332D">
        <w:t xml:space="preserve"> in Goanta </w:t>
      </w:r>
      <w:r>
        <w:t xml:space="preserve">C </w:t>
      </w:r>
      <w:r w:rsidRPr="00F5332D">
        <w:t>and Ranchordás</w:t>
      </w:r>
      <w:r>
        <w:t xml:space="preserve"> S</w:t>
      </w:r>
      <w:r w:rsidRPr="00F5332D">
        <w:t xml:space="preserve"> (eds) </w:t>
      </w:r>
      <w:r w:rsidRPr="00830959">
        <w:rPr>
          <w:i/>
          <w:iCs/>
        </w:rPr>
        <w:t xml:space="preserve">The Regulation of Social Media Influencers </w:t>
      </w:r>
      <w:r w:rsidRPr="00F5332D">
        <w:t>(1</w:t>
      </w:r>
      <w:r w:rsidRPr="00830959">
        <w:rPr>
          <w:vertAlign w:val="superscript"/>
        </w:rPr>
        <w:t>st</w:t>
      </w:r>
      <w:r w:rsidRPr="00F5332D">
        <w:t xml:space="preserve"> edn, Edward Elgar Publishing 2020).</w:t>
      </w:r>
    </w:p>
    <w:p w14:paraId="347F0B57" w14:textId="77777777" w:rsidR="00830959" w:rsidRPr="002E6AF0" w:rsidRDefault="00830959" w:rsidP="00830959">
      <w:pPr>
        <w:rPr>
          <w:sz w:val="24"/>
          <w:szCs w:val="24"/>
        </w:rPr>
      </w:pPr>
    </w:p>
    <w:p w14:paraId="479BCFA8" w14:textId="77777777" w:rsidR="002E6AF0" w:rsidRPr="00762EAA" w:rsidRDefault="002E6AF0" w:rsidP="002E6AF0">
      <w:pPr>
        <w:ind w:left="720" w:hanging="360"/>
        <w:jc w:val="center"/>
        <w:rPr>
          <w:u w:val="single"/>
        </w:rPr>
      </w:pPr>
      <w:r w:rsidRPr="00762EAA">
        <w:rPr>
          <w:u w:val="single"/>
        </w:rPr>
        <w:t>Journal Articles</w:t>
      </w:r>
    </w:p>
    <w:p w14:paraId="3F7A3DD8" w14:textId="3DAF04C5" w:rsidR="002E6AF0" w:rsidRPr="00762EAA" w:rsidRDefault="002E6AF0" w:rsidP="002E6AF0">
      <w:pPr>
        <w:pStyle w:val="ListParagraph"/>
        <w:numPr>
          <w:ilvl w:val="0"/>
          <w:numId w:val="1"/>
        </w:numPr>
      </w:pPr>
      <w:r w:rsidRPr="00762EAA">
        <w:t xml:space="preserve">  Alexandros Antoniou, ‘Advertising regulation and transparency in influencers</w:t>
      </w:r>
      <w:r w:rsidR="00830959">
        <w:t>’</w:t>
      </w:r>
      <w:r w:rsidRPr="00762EAA">
        <w:t xml:space="preserve"> endorsements on social media’ (2021) 26(4) Communications Law 190.</w:t>
      </w:r>
    </w:p>
    <w:p w14:paraId="4FA34AD4" w14:textId="77777777" w:rsidR="002E6AF0" w:rsidRPr="00762EAA" w:rsidRDefault="002E6AF0" w:rsidP="002E6AF0">
      <w:pPr>
        <w:pStyle w:val="ListParagraph"/>
        <w:numPr>
          <w:ilvl w:val="0"/>
          <w:numId w:val="1"/>
        </w:numPr>
      </w:pPr>
      <w:r w:rsidRPr="00762EAA">
        <w:t xml:space="preserve">  Andrea Giuffredi-Kähr, Alisa Petrova, Lucia Malär, ‘Sponsorship Disclosure of Influencers – A Curse or a Blessing?’ (2022) 57(1) Journal of Interactive Marketing 18.</w:t>
      </w:r>
    </w:p>
    <w:p w14:paraId="467A8C2B" w14:textId="77777777" w:rsidR="002E6AF0" w:rsidRPr="00762EAA" w:rsidRDefault="002E6AF0" w:rsidP="002E6AF0">
      <w:pPr>
        <w:pStyle w:val="ListParagraph"/>
        <w:numPr>
          <w:ilvl w:val="0"/>
          <w:numId w:val="1"/>
        </w:numPr>
      </w:pPr>
      <w:r w:rsidRPr="00762EAA">
        <w:t xml:space="preserve">  Emma Llanso, ‘No amount of “AI” in content moderation will solve filtering’s prior-restraint problem’ (2020) 7(1) Big Data and Society 34.</w:t>
      </w:r>
    </w:p>
    <w:p w14:paraId="66602FB3" w14:textId="77777777" w:rsidR="002E6AF0" w:rsidRPr="00762EAA" w:rsidRDefault="002E6AF0" w:rsidP="002E6AF0">
      <w:pPr>
        <w:pStyle w:val="ListParagraph"/>
        <w:numPr>
          <w:ilvl w:val="0"/>
          <w:numId w:val="1"/>
        </w:numPr>
      </w:pPr>
      <w:r w:rsidRPr="00762EAA">
        <w:t xml:space="preserve">  Greg Mason, ‘The revised Audiovisual Media Services Directive 2018: to implement or not to implement?’ (2019) 30(8) E.L.R 254.</w:t>
      </w:r>
    </w:p>
    <w:p w14:paraId="1312DD51" w14:textId="77777777" w:rsidR="002E6AF0" w:rsidRPr="00762EAA" w:rsidRDefault="002E6AF0" w:rsidP="002E6AF0">
      <w:pPr>
        <w:pStyle w:val="ListParagraph"/>
        <w:numPr>
          <w:ilvl w:val="0"/>
          <w:numId w:val="1"/>
        </w:numPr>
      </w:pPr>
      <w:r w:rsidRPr="00762EAA">
        <w:t xml:space="preserve">  Isik Onay, ‘Regulating webcasting: An analysis of the Audiovisual Media Services Directive and the current broadcasting law in the UK’ (2009) 25(4) International Journal of Technology and Practice 335.</w:t>
      </w:r>
    </w:p>
    <w:p w14:paraId="55C1267F" w14:textId="77777777" w:rsidR="002E6AF0" w:rsidRPr="00762EAA" w:rsidRDefault="002E6AF0" w:rsidP="002E6AF0">
      <w:pPr>
        <w:pStyle w:val="ListParagraph"/>
        <w:numPr>
          <w:ilvl w:val="0"/>
          <w:numId w:val="1"/>
        </w:numPr>
      </w:pPr>
      <w:r w:rsidRPr="00762EAA">
        <w:t xml:space="preserve">  Kenneth Murphy, ‘The regulation of video-sharing platforms and harmful content in Ireland and Europe’ (2021) 12(3) Journal of Digital Media and Policy 513.</w:t>
      </w:r>
    </w:p>
    <w:p w14:paraId="6DEEA735" w14:textId="77777777" w:rsidR="002E6AF0" w:rsidRPr="00762EAA" w:rsidRDefault="002E6AF0" w:rsidP="002E6AF0">
      <w:pPr>
        <w:pStyle w:val="ListParagraph"/>
        <w:numPr>
          <w:ilvl w:val="0"/>
          <w:numId w:val="1"/>
        </w:numPr>
      </w:pPr>
      <w:r w:rsidRPr="00762EAA">
        <w:t xml:space="preserve">  Kinga Sorban, ‘The video-sharing platform paradox: applicability of the new European rules in the intersection of globalisation and distinct Member State implementation’ (2020) 25(2) Communications Law 89.</w:t>
      </w:r>
    </w:p>
    <w:p w14:paraId="77918A9F" w14:textId="77777777" w:rsidR="002E6AF0" w:rsidRPr="00762EAA" w:rsidRDefault="002E6AF0" w:rsidP="002E6AF0">
      <w:pPr>
        <w:pStyle w:val="ListParagraph"/>
        <w:numPr>
          <w:ilvl w:val="0"/>
          <w:numId w:val="1"/>
        </w:numPr>
      </w:pPr>
      <w:r w:rsidRPr="00762EAA">
        <w:t xml:space="preserve">  Lorna Woods, ‘Video-sharing platforms in the revised Audiovisual Media Services Directive’ (2018) 23(3) Communications Law 127.</w:t>
      </w:r>
    </w:p>
    <w:p w14:paraId="257FE508" w14:textId="622D2325" w:rsidR="002E6AF0" w:rsidRPr="00762EAA" w:rsidRDefault="002E6AF0" w:rsidP="002E6AF0">
      <w:pPr>
        <w:pStyle w:val="ListParagraph"/>
        <w:numPr>
          <w:ilvl w:val="0"/>
          <w:numId w:val="1"/>
        </w:numPr>
      </w:pPr>
      <w:r w:rsidRPr="00762EAA">
        <w:lastRenderedPageBreak/>
        <w:t xml:space="preserve">  Olivia Bartlett and Amandine Garde, ‘Time to seize the (red) bull by the horns: the EU</w:t>
      </w:r>
      <w:r w:rsidR="00830959">
        <w:t>’</w:t>
      </w:r>
      <w:r w:rsidRPr="00762EAA">
        <w:t>s failure to protect children from alcohol and unhealthy food marketing’ (2013) 38(4) European Law Review 498.</w:t>
      </w:r>
    </w:p>
    <w:p w14:paraId="368233B5" w14:textId="394E9EFD" w:rsidR="002E6AF0" w:rsidRDefault="002E6AF0" w:rsidP="002E6AF0">
      <w:pPr>
        <w:pStyle w:val="ListParagraph"/>
        <w:numPr>
          <w:ilvl w:val="0"/>
          <w:numId w:val="1"/>
        </w:numPr>
      </w:pPr>
      <w:r w:rsidRPr="00762EAA">
        <w:t xml:space="preserve">  Zsuzsa Detrekoi, ‘Practical problems of implementing the new AVMSD provisions on video-sharing platforms’ (2021) 26(3) Communications Law 149.</w:t>
      </w:r>
    </w:p>
    <w:p w14:paraId="18361825" w14:textId="77777777" w:rsidR="00B542BA" w:rsidRPr="00762EAA" w:rsidRDefault="00B542BA" w:rsidP="00B542BA"/>
    <w:p w14:paraId="219FB442" w14:textId="77777777" w:rsidR="00B542BA" w:rsidRPr="00C84A37" w:rsidRDefault="00B542BA" w:rsidP="00B542BA">
      <w:pPr>
        <w:ind w:left="720" w:hanging="360"/>
        <w:jc w:val="center"/>
        <w:rPr>
          <w:u w:val="single"/>
        </w:rPr>
      </w:pPr>
      <w:r w:rsidRPr="00C84A37">
        <w:rPr>
          <w:u w:val="single"/>
        </w:rPr>
        <w:t>Official Reports</w:t>
      </w:r>
    </w:p>
    <w:p w14:paraId="06D316F4" w14:textId="32143BEE" w:rsidR="00B542BA" w:rsidRPr="00C84A37" w:rsidRDefault="00B542BA" w:rsidP="00B542BA">
      <w:pPr>
        <w:pStyle w:val="ListParagraph"/>
        <w:numPr>
          <w:ilvl w:val="0"/>
          <w:numId w:val="1"/>
        </w:numPr>
      </w:pPr>
      <w:r>
        <w:t xml:space="preserve"> </w:t>
      </w:r>
      <w:r w:rsidRPr="00C84A37">
        <w:t xml:space="preserve">BAI, </w:t>
      </w:r>
      <w:r w:rsidRPr="00C84A37">
        <w:rPr>
          <w:i/>
          <w:iCs/>
        </w:rPr>
        <w:t xml:space="preserve">Submission to the DCCE </w:t>
      </w:r>
      <w:r w:rsidR="00830959">
        <w:rPr>
          <w:i/>
          <w:iCs/>
        </w:rPr>
        <w:t>–</w:t>
      </w:r>
      <w:r w:rsidRPr="00C84A37">
        <w:rPr>
          <w:i/>
          <w:iCs/>
        </w:rPr>
        <w:t xml:space="preserve"> Public Consultation on the Regulation of Harmful Content on Online Platforms and the Implementation of the Revised Audiovisual Media Service Directive</w:t>
      </w:r>
      <w:r w:rsidRPr="00C84A37">
        <w:t xml:space="preserve"> &lt;http://www.bai.ie/en/download/134036&gt;.</w:t>
      </w:r>
    </w:p>
    <w:p w14:paraId="6B245359" w14:textId="76629B66" w:rsidR="00B542BA" w:rsidRPr="00C84A37" w:rsidRDefault="00B542BA" w:rsidP="00B542BA">
      <w:pPr>
        <w:pStyle w:val="ListParagraph"/>
        <w:numPr>
          <w:ilvl w:val="0"/>
          <w:numId w:val="1"/>
        </w:numPr>
      </w:pPr>
      <w:r w:rsidRPr="00C84A37">
        <w:t xml:space="preserve">  Cisco, </w:t>
      </w:r>
      <w:r w:rsidRPr="00C84A37">
        <w:rPr>
          <w:i/>
          <w:iCs/>
        </w:rPr>
        <w:t xml:space="preserve">Global </w:t>
      </w:r>
      <w:r w:rsidR="00830959">
        <w:rPr>
          <w:i/>
          <w:iCs/>
        </w:rPr>
        <w:t>–</w:t>
      </w:r>
      <w:r w:rsidRPr="00C84A37">
        <w:rPr>
          <w:i/>
          <w:iCs/>
        </w:rPr>
        <w:t xml:space="preserve"> 2021 Forecast Highlights</w:t>
      </w:r>
      <w:r w:rsidRPr="00C84A37">
        <w:t xml:space="preserve"> (Cisco Research, 2021) &lt;https://www.cisco.com/c/dam/m/en_us/solutions/service-provider/vni-forecast-highlights/pdf/Global_2021_Forecast_Highlights.pdf&gt;. </w:t>
      </w:r>
    </w:p>
    <w:p w14:paraId="6B9E6CD3" w14:textId="25C2E4A7" w:rsidR="00B542BA" w:rsidRPr="00C84A37" w:rsidRDefault="00B542BA" w:rsidP="00B542BA">
      <w:pPr>
        <w:pStyle w:val="ListParagraph"/>
        <w:numPr>
          <w:ilvl w:val="0"/>
          <w:numId w:val="1"/>
        </w:numPr>
      </w:pPr>
      <w:r w:rsidRPr="00C84A37">
        <w:t xml:space="preserve">  ERGA, </w:t>
      </w:r>
      <w:r w:rsidRPr="00C84A37">
        <w:rPr>
          <w:i/>
          <w:iCs/>
        </w:rPr>
        <w:t>Report: Analysis and recommendations concerning the regulation of vloggers</w:t>
      </w:r>
      <w:r w:rsidRPr="00C84A37">
        <w:t xml:space="preserve"> (ERGA, September 2020) 29 &lt; </w:t>
      </w:r>
      <w:hyperlink r:id="rId7" w:history="1">
        <w:r w:rsidR="00830959" w:rsidRPr="00F00BE5">
          <w:rPr>
            <w:rStyle w:val="Hyperlink"/>
          </w:rPr>
          <w:t>https://erga</w:t>
        </w:r>
      </w:hyperlink>
      <w:r w:rsidRPr="00C84A37">
        <w:t>-online.eu/wp-content/uploads/2021/12/ERGA-SG1-2021-Report-Vloggers.pdf &gt;.</w:t>
      </w:r>
    </w:p>
    <w:p w14:paraId="37C1BF48" w14:textId="77777777" w:rsidR="00B542BA" w:rsidRPr="00C84A37" w:rsidRDefault="00B542BA" w:rsidP="00B542BA">
      <w:pPr>
        <w:pStyle w:val="ListParagraph"/>
        <w:numPr>
          <w:ilvl w:val="0"/>
          <w:numId w:val="1"/>
        </w:numPr>
      </w:pPr>
      <w:r w:rsidRPr="00C84A37">
        <w:t xml:space="preserve">  Francisco Javier Cabrera Blázquez, Maja Cappello, Gilles Fontaine, Ismail Rabie, Sophie Valais, </w:t>
      </w:r>
      <w:r w:rsidRPr="00C84A37">
        <w:rPr>
          <w:i/>
          <w:iCs/>
        </w:rPr>
        <w:t>The Legal Framework for Video-Sharing Platforms</w:t>
      </w:r>
      <w:r w:rsidRPr="00C84A37">
        <w:t xml:space="preserve"> (European Audiovisual Observatory, May 2018) 18 &lt;https://rm.coe.int/the-legal-framework-for-video-sharing-platforms/16808b05ee&gt;.</w:t>
      </w:r>
    </w:p>
    <w:p w14:paraId="1ED404E6" w14:textId="77777777" w:rsidR="00B542BA" w:rsidRPr="00C84A37" w:rsidRDefault="00B542BA" w:rsidP="00B542BA">
      <w:pPr>
        <w:pStyle w:val="ListParagraph"/>
        <w:numPr>
          <w:ilvl w:val="0"/>
          <w:numId w:val="1"/>
        </w:numPr>
      </w:pPr>
      <w:r w:rsidRPr="00C84A37">
        <w:t xml:space="preserve">  Gilles Fontaine, Christian Grece, Marta Jimenez Pumares, </w:t>
      </w:r>
      <w:r w:rsidRPr="00C84A37">
        <w:rPr>
          <w:i/>
          <w:iCs/>
        </w:rPr>
        <w:t>Online Video Sharing: Offerings, Audiences, Economic Aspects</w:t>
      </w:r>
      <w:r w:rsidRPr="00C84A37">
        <w:t xml:space="preserve"> (European Audiovisual Observatory, 2018) 29.</w:t>
      </w:r>
    </w:p>
    <w:p w14:paraId="46CCB9EE" w14:textId="77777777" w:rsidR="00B542BA" w:rsidRPr="00C84A37" w:rsidRDefault="00B542BA" w:rsidP="00B542BA">
      <w:pPr>
        <w:pStyle w:val="ListParagraph"/>
        <w:numPr>
          <w:ilvl w:val="0"/>
          <w:numId w:val="1"/>
        </w:numPr>
      </w:pPr>
      <w:r w:rsidRPr="00C84A37">
        <w:t xml:space="preserve">  Nic Newman, </w:t>
      </w:r>
      <w:r w:rsidRPr="00C84A37">
        <w:rPr>
          <w:i/>
          <w:iCs/>
        </w:rPr>
        <w:t>2021 Digital News Report</w:t>
      </w:r>
      <w:r w:rsidRPr="00C84A37">
        <w:t xml:space="preserve"> (Reuters Institute, 2021) &lt;https://reutersinstitute.politics.ox.ac.uk/digital-news-report/2021/dnr-executive-summary&gt;.</w:t>
      </w:r>
    </w:p>
    <w:p w14:paraId="3705B927" w14:textId="01C0B2E0" w:rsidR="00B542BA" w:rsidRPr="00C84A37" w:rsidRDefault="00B542BA" w:rsidP="00B542BA">
      <w:pPr>
        <w:pStyle w:val="ListParagraph"/>
        <w:numPr>
          <w:ilvl w:val="0"/>
          <w:numId w:val="1"/>
        </w:numPr>
      </w:pPr>
      <w:r w:rsidRPr="00C84A37">
        <w:t xml:space="preserve">  Pisu et al, </w:t>
      </w:r>
      <w:r w:rsidRPr="00C84A37">
        <w:rPr>
          <w:i/>
          <w:iCs/>
        </w:rPr>
        <w:t>The role of online platforms in weathering the COVID-19 shock</w:t>
      </w:r>
      <w:r w:rsidRPr="00C84A37">
        <w:t xml:space="preserve"> (OECD, 2021) &lt; </w:t>
      </w:r>
      <w:hyperlink r:id="rId8" w:history="1">
        <w:r w:rsidR="00830959" w:rsidRPr="00F00BE5">
          <w:rPr>
            <w:rStyle w:val="Hyperlink"/>
          </w:rPr>
          <w:t>https://read</w:t>
        </w:r>
      </w:hyperlink>
      <w:r w:rsidRPr="00C84A37">
        <w:t>.oecd-ilibrary.org/view/?ref=1059_1059964-bt6y866qim&amp;title=The-role-of-online-platforms-in-weathering-the-COVID-19-shock &gt;.</w:t>
      </w:r>
    </w:p>
    <w:p w14:paraId="719CD0E7" w14:textId="77777777" w:rsidR="00B542BA" w:rsidRPr="00C84A37" w:rsidRDefault="00B542BA" w:rsidP="00B542BA">
      <w:pPr>
        <w:pStyle w:val="ListParagraph"/>
        <w:numPr>
          <w:ilvl w:val="0"/>
          <w:numId w:val="1"/>
        </w:numPr>
      </w:pPr>
      <w:r w:rsidRPr="00C84A37">
        <w:t xml:space="preserve">  Yi Shen Chan, Sam Wood, Stephen Adshed, </w:t>
      </w:r>
      <w:r w:rsidRPr="00C84A37">
        <w:rPr>
          <w:i/>
          <w:iCs/>
        </w:rPr>
        <w:t>Understanding Video-Sharing Platforms under UK Jurisdiction</w:t>
      </w:r>
      <w:r w:rsidRPr="00C84A37">
        <w:t xml:space="preserve"> (Department of Digital Culture Media and Sport, December 2019) 20 &lt;https://assets.publishing.service.gov.uk/government/uploads/system/uploads/attachment_data/file/865313/Understanding_VSPs_under_UK_jurisdiction.pdf&gt;.</w:t>
      </w:r>
    </w:p>
    <w:p w14:paraId="1F422540" w14:textId="3A22C756" w:rsidR="002E6AF0" w:rsidRDefault="002E6AF0" w:rsidP="00701AE1">
      <w:pPr>
        <w:rPr>
          <w:sz w:val="24"/>
          <w:szCs w:val="24"/>
        </w:rPr>
      </w:pPr>
    </w:p>
    <w:p w14:paraId="6346103F" w14:textId="0CA03911" w:rsidR="00830959" w:rsidRPr="00830959" w:rsidRDefault="00830959" w:rsidP="00830959">
      <w:pPr>
        <w:jc w:val="center"/>
        <w:rPr>
          <w:u w:val="single"/>
        </w:rPr>
      </w:pPr>
      <w:r w:rsidRPr="00830959">
        <w:rPr>
          <w:u w:val="single"/>
        </w:rPr>
        <w:t>Commission Documents</w:t>
      </w:r>
    </w:p>
    <w:p w14:paraId="6A03E622" w14:textId="77777777" w:rsidR="00701AE1" w:rsidRPr="00F5332D" w:rsidRDefault="00701AE1" w:rsidP="00701AE1">
      <w:pPr>
        <w:pStyle w:val="ListParagraph"/>
        <w:numPr>
          <w:ilvl w:val="0"/>
          <w:numId w:val="1"/>
        </w:numPr>
      </w:pPr>
      <w:r w:rsidRPr="00701AE1">
        <w:t xml:space="preserve">  </w:t>
      </w:r>
      <w:r w:rsidRPr="00F5332D">
        <w:t>Commission, Communication from the Commission to the European Parliament, the Council, the European Economic and Social Committee and the Committee of the Regions A Digital Single Market Strategy for Europe COM (2015) 192 final.</w:t>
      </w:r>
    </w:p>
    <w:p w14:paraId="32A09146" w14:textId="77777777" w:rsidR="00701AE1" w:rsidRPr="00F5332D" w:rsidRDefault="00701AE1" w:rsidP="00701AE1">
      <w:pPr>
        <w:pStyle w:val="ListParagraph"/>
        <w:numPr>
          <w:ilvl w:val="0"/>
          <w:numId w:val="1"/>
        </w:numPr>
      </w:pPr>
      <w:r w:rsidRPr="00F5332D">
        <w:t xml:space="preserve">  Communication from the Commission Guidelines on the practical application of the essential functionality criterion of the definition of a ‘video-sharing platform service’ under the Audiovisual Media Services Directive 2020/C 223/02 C/2020/4322 OJ C 22</w:t>
      </w:r>
    </w:p>
    <w:p w14:paraId="7AD8CB80" w14:textId="0B61E74C" w:rsidR="00701AE1" w:rsidRPr="00830959" w:rsidRDefault="00830959" w:rsidP="00830959">
      <w:pPr>
        <w:jc w:val="center"/>
        <w:rPr>
          <w:u w:val="single"/>
        </w:rPr>
      </w:pPr>
      <w:r w:rsidRPr="00830959">
        <w:rPr>
          <w:u w:val="single"/>
        </w:rPr>
        <w:t>Newspaper Articles</w:t>
      </w:r>
    </w:p>
    <w:p w14:paraId="027C182C" w14:textId="15CC415E" w:rsidR="00830959" w:rsidRPr="00F5332D" w:rsidRDefault="00830959" w:rsidP="00830959">
      <w:pPr>
        <w:pStyle w:val="ListParagraph"/>
        <w:numPr>
          <w:ilvl w:val="0"/>
          <w:numId w:val="1"/>
        </w:numPr>
      </w:pPr>
      <w:r w:rsidRPr="00F5332D">
        <w:t xml:space="preserve">  Jenny Darmody ‘Why is Ireland’s Data Protection Commission under fire?’ SiliconRepublic (28 April 2021)</w:t>
      </w:r>
    </w:p>
    <w:p w14:paraId="6DB7EFD4" w14:textId="45F2FC77" w:rsidR="00830959" w:rsidRPr="00F5332D" w:rsidRDefault="00830959" w:rsidP="00830959">
      <w:pPr>
        <w:pStyle w:val="ListParagraph"/>
        <w:numPr>
          <w:ilvl w:val="0"/>
          <w:numId w:val="1"/>
        </w:numPr>
      </w:pPr>
      <w:r w:rsidRPr="00F5332D">
        <w:t xml:space="preserve">  John Schwartz, "Internet Filters Block Many Useful Sites, Study Finds' The New York Times (2002) </w:t>
      </w:r>
    </w:p>
    <w:p w14:paraId="06082B91" w14:textId="77777777" w:rsidR="00830959" w:rsidRPr="002E6AF0" w:rsidRDefault="00830959" w:rsidP="00701AE1">
      <w:pPr>
        <w:rPr>
          <w:sz w:val="24"/>
          <w:szCs w:val="24"/>
        </w:rPr>
      </w:pPr>
    </w:p>
    <w:sectPr w:rsidR="00830959" w:rsidRPr="002E6AF0">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9E838" w14:textId="77777777" w:rsidR="004769C3" w:rsidRDefault="004769C3" w:rsidP="002229A5">
      <w:pPr>
        <w:spacing w:after="0" w:line="240" w:lineRule="auto"/>
      </w:pPr>
      <w:r>
        <w:separator/>
      </w:r>
    </w:p>
  </w:endnote>
  <w:endnote w:type="continuationSeparator" w:id="0">
    <w:p w14:paraId="79AC2740" w14:textId="77777777" w:rsidR="004769C3" w:rsidRDefault="004769C3" w:rsidP="00222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3625241"/>
      <w:docPartObj>
        <w:docPartGallery w:val="Page Numbers (Bottom of Page)"/>
        <w:docPartUnique/>
      </w:docPartObj>
    </w:sdtPr>
    <w:sdtEndPr>
      <w:rPr>
        <w:noProof/>
      </w:rPr>
    </w:sdtEndPr>
    <w:sdtContent>
      <w:p w14:paraId="0F1AA945" w14:textId="25379E8E" w:rsidR="00760BB1" w:rsidRDefault="00760BB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2470F35" w14:textId="77777777" w:rsidR="00760BB1" w:rsidRDefault="00760B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FD713" w14:textId="77777777" w:rsidR="004769C3" w:rsidRDefault="004769C3" w:rsidP="002229A5">
      <w:pPr>
        <w:spacing w:after="0" w:line="240" w:lineRule="auto"/>
      </w:pPr>
      <w:r>
        <w:separator/>
      </w:r>
    </w:p>
  </w:footnote>
  <w:footnote w:type="continuationSeparator" w:id="0">
    <w:p w14:paraId="7873DEA6" w14:textId="77777777" w:rsidR="004769C3" w:rsidRDefault="004769C3" w:rsidP="002229A5">
      <w:pPr>
        <w:spacing w:after="0" w:line="240" w:lineRule="auto"/>
      </w:pPr>
      <w:r>
        <w:continuationSeparator/>
      </w:r>
    </w:p>
  </w:footnote>
  <w:footnote w:id="1">
    <w:p w14:paraId="5F89FB68" w14:textId="555A7353" w:rsidR="00B64691" w:rsidRDefault="00B64691">
      <w:pPr>
        <w:pStyle w:val="FootnoteText"/>
      </w:pPr>
      <w:r>
        <w:rPr>
          <w:rStyle w:val="FootnoteReference"/>
        </w:rPr>
        <w:footnoteRef/>
      </w:r>
      <w:r>
        <w:t xml:space="preserve"> </w:t>
      </w:r>
      <w:r w:rsidR="00B94063">
        <w:t>YouTube, for instance, has around two billion logged-in users, YouTube, ‘You</w:t>
      </w:r>
      <w:r w:rsidR="001F5A9E">
        <w:t>T</w:t>
      </w:r>
      <w:r w:rsidR="00B94063">
        <w:t>ube by the numbers</w:t>
      </w:r>
      <w:r w:rsidR="001F5A9E">
        <w:t>’</w:t>
      </w:r>
      <w:r w:rsidR="00B94063">
        <w:t xml:space="preserve"> </w:t>
      </w:r>
      <w:r w:rsidR="001F5A9E">
        <w:t>(</w:t>
      </w:r>
      <w:r w:rsidR="00B94063" w:rsidRPr="00B94063">
        <w:rPr>
          <w:i/>
          <w:iCs/>
        </w:rPr>
        <w:t>You</w:t>
      </w:r>
      <w:r w:rsidR="001F5A9E">
        <w:rPr>
          <w:i/>
          <w:iCs/>
        </w:rPr>
        <w:t>T</w:t>
      </w:r>
      <w:r w:rsidR="00B94063" w:rsidRPr="00B94063">
        <w:rPr>
          <w:i/>
          <w:iCs/>
        </w:rPr>
        <w:t>ube Press</w:t>
      </w:r>
      <w:r w:rsidR="001F5A9E">
        <w:rPr>
          <w:i/>
          <w:iCs/>
        </w:rPr>
        <w:t>)</w:t>
      </w:r>
      <w:r w:rsidR="00B94063">
        <w:t xml:space="preserve"> &lt;</w:t>
      </w:r>
      <w:r w:rsidR="00B94063" w:rsidRPr="00B94063">
        <w:t>https://blog.youtube/press/</w:t>
      </w:r>
      <w:r w:rsidR="00B94063">
        <w:t>&gt; Accessed 28 April 2022.</w:t>
      </w:r>
    </w:p>
  </w:footnote>
  <w:footnote w:id="2">
    <w:p w14:paraId="00F4AF8E" w14:textId="3CCFCC71" w:rsidR="00B83905" w:rsidRPr="006D1086" w:rsidRDefault="00B83905">
      <w:pPr>
        <w:pStyle w:val="FootnoteText"/>
      </w:pPr>
      <w:r>
        <w:rPr>
          <w:rStyle w:val="FootnoteReference"/>
        </w:rPr>
        <w:footnoteRef/>
      </w:r>
      <w:r>
        <w:t xml:space="preserve"> </w:t>
      </w:r>
      <w:r w:rsidR="006D1086">
        <w:t xml:space="preserve">Cisco, </w:t>
      </w:r>
      <w:r w:rsidR="006D1086" w:rsidRPr="006D1086">
        <w:rPr>
          <w:i/>
          <w:iCs/>
        </w:rPr>
        <w:t>Global - 2021 Forecast Highlights</w:t>
      </w:r>
      <w:r w:rsidR="006D1086">
        <w:t xml:space="preserve"> (Cisco Research, 2021) &lt;</w:t>
      </w:r>
      <w:r w:rsidR="008A42CF" w:rsidRPr="008A42CF">
        <w:t>https://www.cisco.com/c/dam/m/en_us/solutions/service-provider/vni-forecast-highlights/pdf/Global_2021_Forecast_Highlights.pdf</w:t>
      </w:r>
      <w:r w:rsidR="006D1086">
        <w:t xml:space="preserve">&gt; Accessed 1 May 2022. </w:t>
      </w:r>
    </w:p>
  </w:footnote>
  <w:footnote w:id="3">
    <w:p w14:paraId="65AA4B8E" w14:textId="4AF001C1" w:rsidR="009F04A1" w:rsidRDefault="009F04A1">
      <w:pPr>
        <w:pStyle w:val="FootnoteText"/>
      </w:pPr>
      <w:r>
        <w:rPr>
          <w:rStyle w:val="FootnoteReference"/>
        </w:rPr>
        <w:footnoteRef/>
      </w:r>
      <w:r>
        <w:t xml:space="preserve"> </w:t>
      </w:r>
      <w:r w:rsidRPr="009F04A1">
        <w:t xml:space="preserve">Gilles Fontaine, Christian Grece, Marta Jimenez Pumares, </w:t>
      </w:r>
      <w:r w:rsidRPr="009F04A1">
        <w:rPr>
          <w:i/>
          <w:iCs/>
        </w:rPr>
        <w:t>Online Video Sharing: Offerings, Audiences, Economic Aspects</w:t>
      </w:r>
      <w:r w:rsidRPr="009F04A1">
        <w:t xml:space="preserve"> (European Audiovisual Observatory, 2018) 29.</w:t>
      </w:r>
    </w:p>
  </w:footnote>
  <w:footnote w:id="4">
    <w:p w14:paraId="760B56CE" w14:textId="27C8D73C" w:rsidR="009F04A1" w:rsidRPr="009F04A1" w:rsidRDefault="009F04A1" w:rsidP="009F04A1">
      <w:pPr>
        <w:pStyle w:val="FootnoteText"/>
      </w:pPr>
      <w:r>
        <w:rPr>
          <w:rStyle w:val="FootnoteReference"/>
        </w:rPr>
        <w:footnoteRef/>
      </w:r>
      <w:r>
        <w:t xml:space="preserve"> Pisu et al, </w:t>
      </w:r>
      <w:r w:rsidRPr="009F04A1">
        <w:rPr>
          <w:i/>
          <w:iCs/>
        </w:rPr>
        <w:t>The role of online platforms in weathering the COVID-19 shock</w:t>
      </w:r>
      <w:r>
        <w:rPr>
          <w:i/>
          <w:iCs/>
        </w:rPr>
        <w:t xml:space="preserve"> </w:t>
      </w:r>
      <w:r>
        <w:t>(OECD, 2021) &lt;</w:t>
      </w:r>
      <w:r w:rsidRPr="009F04A1">
        <w:t xml:space="preserve"> https://read.oecd-ilibrary.org/view/?ref=1059_1059964-bt6y866qim&amp;title=The-role-of-online-platforms-in-weathering-the-COVID-19-shock </w:t>
      </w:r>
      <w:r>
        <w:t>&gt; Accessed 29 April 2022.</w:t>
      </w:r>
    </w:p>
  </w:footnote>
  <w:footnote w:id="5">
    <w:p w14:paraId="243AF69F" w14:textId="4B7E8F56" w:rsidR="0063766F" w:rsidRDefault="0063766F">
      <w:pPr>
        <w:pStyle w:val="FootnoteText"/>
      </w:pPr>
      <w:r>
        <w:rPr>
          <w:rStyle w:val="FootnoteReference"/>
        </w:rPr>
        <w:footnoteRef/>
      </w:r>
      <w:r>
        <w:t xml:space="preserve"> </w:t>
      </w:r>
      <w:r w:rsidR="00156F9D" w:rsidRPr="00156F9D">
        <w:t>Council Directive 89/552/EEC of 3 October 1989 on the coordination of certain provisions laid down by law, regulation or administrative action in Member States concerning the pursuit of television broadcasting activities</w:t>
      </w:r>
      <w:r w:rsidR="00156F9D">
        <w:t xml:space="preserve"> (Television Without Frontiers Directive).  </w:t>
      </w:r>
    </w:p>
  </w:footnote>
  <w:footnote w:id="6">
    <w:p w14:paraId="55B931EA" w14:textId="1F6B28C0" w:rsidR="00F753CC" w:rsidRDefault="00F753CC" w:rsidP="0084175D">
      <w:pPr>
        <w:pStyle w:val="FootnoteText"/>
      </w:pPr>
      <w:r>
        <w:rPr>
          <w:rStyle w:val="FootnoteReference"/>
        </w:rPr>
        <w:footnoteRef/>
      </w:r>
      <w:r>
        <w:t xml:space="preserve"> </w:t>
      </w:r>
      <w:r w:rsidR="00D415DE">
        <w:t xml:space="preserve">Commission, </w:t>
      </w:r>
      <w:r w:rsidR="0084175D">
        <w:t>Communication from the Commission to the European Parliament, the Council, the European Economic and Social Committee and the Committee of the Regions A Digital Single Market Strategy for Europe COM (2015) 192 final.</w:t>
      </w:r>
    </w:p>
  </w:footnote>
  <w:footnote w:id="7">
    <w:p w14:paraId="3A939B7D" w14:textId="01F3AD83" w:rsidR="009A776D" w:rsidRDefault="009A776D" w:rsidP="00F753CC">
      <w:pPr>
        <w:pStyle w:val="FootnoteText"/>
      </w:pPr>
      <w:r>
        <w:rPr>
          <w:rStyle w:val="FootnoteReference"/>
        </w:rPr>
        <w:footnoteRef/>
      </w:r>
      <w:r>
        <w:t xml:space="preserve"> </w:t>
      </w:r>
      <w:r w:rsidR="00F753CC">
        <w:t>Directive (EU) 2018/1808 of the European Parliament and of the Council of 14 November 2018 amending Directive 2010/13/EU on the coordination of certain provisions laid down by law, regulation or administrative action in Member States concerning the provision of audiovisual media services (Audiovisual Media Services Directive) in view of changing market realities PE/33/2018/REV/1 OJ L 303, 28.11.2018 (herein, ‘</w:t>
      </w:r>
      <w:r w:rsidR="00CA1BB1">
        <w:rPr>
          <w:b/>
          <w:bCs/>
        </w:rPr>
        <w:t>AVMSD</w:t>
      </w:r>
      <w:r w:rsidR="00F753CC" w:rsidRPr="00F753CC">
        <w:rPr>
          <w:b/>
          <w:bCs/>
        </w:rPr>
        <w:t>’</w:t>
      </w:r>
      <w:r w:rsidR="00F753CC">
        <w:t>)</w:t>
      </w:r>
    </w:p>
  </w:footnote>
  <w:footnote w:id="8">
    <w:p w14:paraId="22900B6E" w14:textId="07DD5EE3" w:rsidR="00834256" w:rsidRDefault="00834256">
      <w:pPr>
        <w:pStyle w:val="FootnoteText"/>
      </w:pPr>
      <w:r>
        <w:rPr>
          <w:rStyle w:val="FootnoteReference"/>
        </w:rPr>
        <w:footnoteRef/>
      </w:r>
      <w:r>
        <w:t xml:space="preserve"> Isik Onay, ‘</w:t>
      </w:r>
      <w:r w:rsidRPr="00834256">
        <w:t>Regulating webcasting: An analysis of the Audiovisual Media Services Directive and the current broadcasting law in the UK</w:t>
      </w:r>
      <w:r>
        <w:t xml:space="preserve">’ (2009) </w:t>
      </w:r>
      <w:r w:rsidRPr="00834256">
        <w:t>25(4)</w:t>
      </w:r>
      <w:r>
        <w:t xml:space="preserve"> International Journal of Technology and Practice 335, 337.</w:t>
      </w:r>
    </w:p>
  </w:footnote>
  <w:footnote w:id="9">
    <w:p w14:paraId="6E134DAB" w14:textId="7A64B378" w:rsidR="00C52D91" w:rsidRPr="00C52D91" w:rsidRDefault="00C52D91" w:rsidP="00C52D91">
      <w:pPr>
        <w:pStyle w:val="FootnoteText"/>
      </w:pPr>
      <w:r>
        <w:rPr>
          <w:rStyle w:val="FootnoteReference"/>
        </w:rPr>
        <w:footnoteRef/>
      </w:r>
      <w:r>
        <w:t xml:space="preserve"> Francisco Javier Cabrera Blázquez, Maja Cappello, Gilles Fontaine, Ismail Rabie, Sophie Valais, </w:t>
      </w:r>
      <w:r w:rsidRPr="00C52D91">
        <w:rPr>
          <w:i/>
          <w:iCs/>
        </w:rPr>
        <w:t>The Legal Framework for Video-Sharing Platforms</w:t>
      </w:r>
      <w:r>
        <w:t xml:space="preserve"> (European Audiovisual Observatory, May 2018) 18 &lt;</w:t>
      </w:r>
      <w:r w:rsidR="007D3E26" w:rsidRPr="007D3E26">
        <w:t>https://rm.coe.int/the-legal-framework-for-video-sharing-platforms/16808b05ee</w:t>
      </w:r>
      <w:r>
        <w:t>&gt; Accessed 28 April 2022.</w:t>
      </w:r>
    </w:p>
  </w:footnote>
  <w:footnote w:id="10">
    <w:p w14:paraId="61254C6B" w14:textId="493B0AFE" w:rsidR="00C52D91" w:rsidRDefault="00C52D91" w:rsidP="00C52D91">
      <w:pPr>
        <w:pStyle w:val="FootnoteText"/>
      </w:pPr>
      <w:r>
        <w:rPr>
          <w:rStyle w:val="FootnoteReference"/>
        </w:rPr>
        <w:footnoteRef/>
      </w:r>
      <w:r>
        <w:t xml:space="preserve"> Directive 2000/31/EC of the European Parliament and of the Council of 8 June 2000 on certain legal aspects of information society services, in particular electronic commerce, in the Internal Market ('Directive on electronic commerce') O.J. L 178</w:t>
      </w:r>
    </w:p>
  </w:footnote>
  <w:footnote w:id="11">
    <w:p w14:paraId="1A78D9DB" w14:textId="0B62BD83" w:rsidR="000E4EDD" w:rsidRPr="008A42CF" w:rsidRDefault="000E4EDD">
      <w:pPr>
        <w:pStyle w:val="FootnoteText"/>
        <w:rPr>
          <w:lang w:val="de-DE"/>
        </w:rPr>
      </w:pPr>
      <w:r>
        <w:rPr>
          <w:rStyle w:val="FootnoteReference"/>
        </w:rPr>
        <w:footnoteRef/>
      </w:r>
      <w:r w:rsidRPr="008A42CF">
        <w:rPr>
          <w:lang w:val="de-DE"/>
        </w:rPr>
        <w:t xml:space="preserve"> </w:t>
      </w:r>
      <w:r w:rsidR="008A42CF" w:rsidRPr="008A42CF">
        <w:rPr>
          <w:lang w:val="de-DE"/>
        </w:rPr>
        <w:t>Gesetz zur Verbesserung der Rechtsdurchsetzung in sozialen Netzwerken</w:t>
      </w:r>
      <w:r w:rsidR="008A42CF">
        <w:rPr>
          <w:lang w:val="de-DE"/>
        </w:rPr>
        <w:t xml:space="preserve">, </w:t>
      </w:r>
      <w:r w:rsidR="008A42CF" w:rsidRPr="008A42CF">
        <w:rPr>
          <w:lang w:val="de-DE"/>
        </w:rPr>
        <w:t>(Federal Law Gazette I, p. 3352 ff. Valid as from 1 October 2017)</w:t>
      </w:r>
      <w:r w:rsidR="008A42CF">
        <w:rPr>
          <w:lang w:val="de-DE"/>
        </w:rPr>
        <w:t>.</w:t>
      </w:r>
    </w:p>
  </w:footnote>
  <w:footnote w:id="12">
    <w:p w14:paraId="5D3ACE95" w14:textId="66618277" w:rsidR="000E4EDD" w:rsidRDefault="000E4EDD">
      <w:pPr>
        <w:pStyle w:val="FootnoteText"/>
      </w:pPr>
      <w:r>
        <w:rPr>
          <w:rStyle w:val="FootnoteReference"/>
        </w:rPr>
        <w:footnoteRef/>
      </w:r>
      <w:r>
        <w:t xml:space="preserve"> </w:t>
      </w:r>
      <w:r w:rsidRPr="008A42CF">
        <w:t xml:space="preserve">Supra note </w:t>
      </w:r>
      <w:r w:rsidR="008A42CF" w:rsidRPr="008A42CF">
        <w:t>9</w:t>
      </w:r>
      <w:r w:rsidRPr="008A42CF">
        <w:t>, at 44</w:t>
      </w:r>
      <w:r w:rsidR="008A42CF" w:rsidRPr="008A42CF">
        <w:t>.</w:t>
      </w:r>
    </w:p>
  </w:footnote>
  <w:footnote w:id="13">
    <w:p w14:paraId="031B873E" w14:textId="0602DF5E" w:rsidR="00455883" w:rsidRDefault="00455883">
      <w:pPr>
        <w:pStyle w:val="FootnoteText"/>
      </w:pPr>
      <w:r>
        <w:rPr>
          <w:rStyle w:val="FootnoteReference"/>
        </w:rPr>
        <w:footnoteRef/>
      </w:r>
      <w:r>
        <w:t xml:space="preserve"> ibid, at 47.</w:t>
      </w:r>
    </w:p>
  </w:footnote>
  <w:footnote w:id="14">
    <w:p w14:paraId="6FDDE83C" w14:textId="4F2FC792" w:rsidR="00455883" w:rsidRDefault="00455883">
      <w:pPr>
        <w:pStyle w:val="FootnoteText"/>
      </w:pPr>
      <w:r>
        <w:rPr>
          <w:rStyle w:val="FootnoteReference"/>
        </w:rPr>
        <w:footnoteRef/>
      </w:r>
      <w:r>
        <w:t xml:space="preserve"> ibid, at 48-50.</w:t>
      </w:r>
    </w:p>
  </w:footnote>
  <w:footnote w:id="15">
    <w:p w14:paraId="371A1052" w14:textId="60E68BEA" w:rsidR="001D616E" w:rsidRPr="001D616E" w:rsidRDefault="001D616E">
      <w:pPr>
        <w:pStyle w:val="FootnoteText"/>
      </w:pPr>
      <w:r>
        <w:rPr>
          <w:rStyle w:val="FootnoteReference"/>
        </w:rPr>
        <w:footnoteRef/>
      </w:r>
      <w:r w:rsidRPr="001D616E">
        <w:t xml:space="preserve"> Olivia Bartlett and Amandine Garde,</w:t>
      </w:r>
      <w:r>
        <w:t xml:space="preserve"> ‘</w:t>
      </w:r>
      <w:r w:rsidRPr="001D616E">
        <w:t>Time to seize the (red) bull by the horns: the EU's failure to protect children from alcohol and unhealthy food marketing</w:t>
      </w:r>
      <w:r>
        <w:t>’ (2013) 38(4) European Law Review 498, 500.</w:t>
      </w:r>
    </w:p>
  </w:footnote>
  <w:footnote w:id="16">
    <w:p w14:paraId="39CF3C69" w14:textId="65CBF000" w:rsidR="00303C88" w:rsidRPr="00D83B92" w:rsidRDefault="00303C88">
      <w:pPr>
        <w:pStyle w:val="FootnoteText"/>
      </w:pPr>
      <w:r>
        <w:rPr>
          <w:rStyle w:val="FootnoteReference"/>
        </w:rPr>
        <w:footnoteRef/>
      </w:r>
      <w:r w:rsidRPr="00D83B92">
        <w:t xml:space="preserve"> </w:t>
      </w:r>
      <w:r w:rsidR="003008C5" w:rsidRPr="00D83B92">
        <w:t xml:space="preserve">Nic Newman, </w:t>
      </w:r>
      <w:r w:rsidR="003008C5" w:rsidRPr="00D83B92">
        <w:rPr>
          <w:i/>
          <w:iCs/>
        </w:rPr>
        <w:t>2021 Digital News Report</w:t>
      </w:r>
      <w:r w:rsidR="003008C5" w:rsidRPr="00D83B92">
        <w:t xml:space="preserve"> (Reuters Institute, 2021) &lt;</w:t>
      </w:r>
      <w:r w:rsidR="00D83B92" w:rsidRPr="00D83B92">
        <w:t>https://reutersinstitute.politics.ox.ac.uk/digital-news-report/2021/dnr-executive-summary</w:t>
      </w:r>
      <w:r w:rsidR="003008C5" w:rsidRPr="00D83B92">
        <w:t>&gt;</w:t>
      </w:r>
      <w:r w:rsidR="00D83B92" w:rsidRPr="00D83B92">
        <w:t xml:space="preserve"> A</w:t>
      </w:r>
      <w:r w:rsidR="00D83B92">
        <w:t>ccessed 1 May 2022.</w:t>
      </w:r>
    </w:p>
  </w:footnote>
  <w:footnote w:id="17">
    <w:p w14:paraId="29C4AA5D" w14:textId="0661BEEA" w:rsidR="007C6AFB" w:rsidRDefault="007C6AFB">
      <w:pPr>
        <w:pStyle w:val="FootnoteText"/>
      </w:pPr>
      <w:r>
        <w:rPr>
          <w:rStyle w:val="FootnoteReference"/>
        </w:rPr>
        <w:footnoteRef/>
      </w:r>
      <w:r>
        <w:t xml:space="preserve"> </w:t>
      </w:r>
      <w:r w:rsidR="000E2B95">
        <w:t>Supra note 6.</w:t>
      </w:r>
    </w:p>
  </w:footnote>
  <w:footnote w:id="18">
    <w:p w14:paraId="33D07307" w14:textId="64474CB3" w:rsidR="00A35019" w:rsidRPr="00D83B92" w:rsidRDefault="00A35019">
      <w:pPr>
        <w:pStyle w:val="FootnoteText"/>
      </w:pPr>
      <w:r w:rsidRPr="00D83B92">
        <w:rPr>
          <w:rStyle w:val="FootnoteReference"/>
        </w:rPr>
        <w:footnoteRef/>
      </w:r>
      <w:r w:rsidRPr="00D83B92">
        <w:t xml:space="preserve"> </w:t>
      </w:r>
      <w:r w:rsidR="00D83B92" w:rsidRPr="00D83B92">
        <w:t>See Kenneth Murphy, ‘The regulation of video-sharing platforms and harmful content in Ireland and Europe’ (2021) 12(3) Journal of Digital Media and Policy 513.</w:t>
      </w:r>
    </w:p>
  </w:footnote>
  <w:footnote w:id="19">
    <w:p w14:paraId="052FF82A" w14:textId="6357448A" w:rsidR="006A342A" w:rsidRPr="00D83B92" w:rsidRDefault="006A342A">
      <w:pPr>
        <w:pStyle w:val="FootnoteText"/>
      </w:pPr>
      <w:r w:rsidRPr="00D83B92">
        <w:rPr>
          <w:rStyle w:val="FootnoteReference"/>
        </w:rPr>
        <w:footnoteRef/>
      </w:r>
      <w:r w:rsidRPr="00D83B92">
        <w:t xml:space="preserve"> </w:t>
      </w:r>
      <w:r w:rsidR="007C6AFB" w:rsidRPr="00D83B92">
        <w:t>Kinga Sorban, ‘The video-sharing platform paradox: applicability of the new European rules in the intersection of globalisation and distinct Member State implementation’ (2020) 25(2) Communications Law 89, 91.</w:t>
      </w:r>
    </w:p>
  </w:footnote>
  <w:footnote w:id="20">
    <w:p w14:paraId="54EA7E8E" w14:textId="006BF13F" w:rsidR="00A001EF" w:rsidRPr="00D83B92" w:rsidRDefault="00A001EF" w:rsidP="00D83B92">
      <w:pPr>
        <w:pStyle w:val="FootnoteText"/>
      </w:pPr>
      <w:r w:rsidRPr="00D83B92">
        <w:rPr>
          <w:rStyle w:val="FootnoteReference"/>
        </w:rPr>
        <w:footnoteRef/>
      </w:r>
      <w:r w:rsidRPr="00D83B92">
        <w:t xml:space="preserve"> </w:t>
      </w:r>
      <w:r w:rsidR="00D83B92" w:rsidRPr="00D83B92">
        <w:t>Directive (EU) 2019/790 of the European Parliament and of the Council of 17 April 2019 on copyright and related rights in the Digital Single Market and amending Directives 96/9/EC and 2001/29/EC (Text with EEA relevance.) PE/51/2019/REV/1 OJ L 130, 17.5.2019</w:t>
      </w:r>
    </w:p>
  </w:footnote>
  <w:footnote w:id="21">
    <w:p w14:paraId="68DADD0F" w14:textId="7B48D7DF" w:rsidR="00303C88" w:rsidRDefault="00303C88">
      <w:pPr>
        <w:pStyle w:val="FootnoteText"/>
      </w:pPr>
      <w:r w:rsidRPr="00D83B92">
        <w:rPr>
          <w:rStyle w:val="FootnoteReference"/>
        </w:rPr>
        <w:footnoteRef/>
      </w:r>
      <w:r w:rsidRPr="00D83B92">
        <w:t xml:space="preserve"> Supra note </w:t>
      </w:r>
      <w:r w:rsidR="00D83B92" w:rsidRPr="00D83B92">
        <w:t>9.</w:t>
      </w:r>
    </w:p>
  </w:footnote>
  <w:footnote w:id="22">
    <w:p w14:paraId="483EFEFD" w14:textId="43C8BBBD" w:rsidR="001A2300" w:rsidRDefault="001A2300">
      <w:pPr>
        <w:pStyle w:val="FootnoteText"/>
      </w:pPr>
      <w:r>
        <w:rPr>
          <w:rStyle w:val="FootnoteReference"/>
        </w:rPr>
        <w:footnoteRef/>
      </w:r>
      <w:r>
        <w:t xml:space="preserve"> </w:t>
      </w:r>
      <w:r w:rsidR="00CA1BB1">
        <w:t>AVMSD</w:t>
      </w:r>
      <w:r>
        <w:t>, Article 1(aa).</w:t>
      </w:r>
    </w:p>
  </w:footnote>
  <w:footnote w:id="23">
    <w:p w14:paraId="78017557" w14:textId="42B1D2B8" w:rsidR="00DC339D" w:rsidRPr="00DC339D" w:rsidRDefault="00DC339D">
      <w:pPr>
        <w:pStyle w:val="FootnoteText"/>
      </w:pPr>
      <w:r>
        <w:rPr>
          <w:rStyle w:val="FootnoteReference"/>
        </w:rPr>
        <w:footnoteRef/>
      </w:r>
      <w:r w:rsidRPr="00DC339D">
        <w:t xml:space="preserve"> Lorna Woods,</w:t>
      </w:r>
      <w:r>
        <w:t xml:space="preserve"> ‘</w:t>
      </w:r>
      <w:r w:rsidRPr="00DC339D">
        <w:t>Video-sharing platforms in the revised Audiovisual Media Services Directive</w:t>
      </w:r>
      <w:r>
        <w:t>’ (2018) 23(3) Communications Law 127, 129.</w:t>
      </w:r>
    </w:p>
  </w:footnote>
  <w:footnote w:id="24">
    <w:p w14:paraId="36F7E785" w14:textId="6A5AE952" w:rsidR="00CA45A7" w:rsidRPr="00DC339D" w:rsidRDefault="00CA45A7">
      <w:pPr>
        <w:pStyle w:val="FootnoteText"/>
        <w:rPr>
          <w:lang w:val="de-DE"/>
        </w:rPr>
      </w:pPr>
      <w:r>
        <w:rPr>
          <w:rStyle w:val="FootnoteReference"/>
        </w:rPr>
        <w:footnoteRef/>
      </w:r>
      <w:r w:rsidRPr="00DC339D">
        <w:rPr>
          <w:lang w:val="de-DE"/>
        </w:rPr>
        <w:t xml:space="preserve"> </w:t>
      </w:r>
      <w:r w:rsidR="00DC339D" w:rsidRPr="00093E9C">
        <w:rPr>
          <w:lang w:val="de-DE"/>
        </w:rPr>
        <w:t xml:space="preserve">C-132/17 </w:t>
      </w:r>
      <w:r w:rsidR="00DC339D" w:rsidRPr="00B83905">
        <w:rPr>
          <w:i/>
          <w:iCs/>
          <w:lang w:val="de-DE"/>
        </w:rPr>
        <w:t>Peugeot Deutschland GmbH v Deutsche Umwelthilfe eV</w:t>
      </w:r>
      <w:r w:rsidR="00DC339D">
        <w:rPr>
          <w:lang w:val="de-DE"/>
        </w:rPr>
        <w:t xml:space="preserve"> [2018] </w:t>
      </w:r>
      <w:r w:rsidR="00DC339D" w:rsidRPr="00B83905">
        <w:rPr>
          <w:lang w:val="de-DE"/>
        </w:rPr>
        <w:t>ECLI:EU:C:2018:85</w:t>
      </w:r>
      <w:r w:rsidR="00DC339D">
        <w:rPr>
          <w:lang w:val="de-DE"/>
        </w:rPr>
        <w:t>.</w:t>
      </w:r>
    </w:p>
  </w:footnote>
  <w:footnote w:id="25">
    <w:p w14:paraId="0EB45A06" w14:textId="07B99A11" w:rsidR="00DC71B8" w:rsidRDefault="00DC71B8">
      <w:pPr>
        <w:pStyle w:val="FootnoteText"/>
      </w:pPr>
      <w:r w:rsidRPr="00CA1BB1">
        <w:rPr>
          <w:rStyle w:val="FootnoteReference"/>
        </w:rPr>
        <w:footnoteRef/>
      </w:r>
      <w:r w:rsidRPr="00CA1BB1">
        <w:t xml:space="preserve"> Supra note 25, at 131</w:t>
      </w:r>
      <w:r w:rsidR="005D04DA" w:rsidRPr="00CA1BB1">
        <w:t>.</w:t>
      </w:r>
    </w:p>
  </w:footnote>
  <w:footnote w:id="26">
    <w:p w14:paraId="08BA2C9E" w14:textId="01D47EF5" w:rsidR="00A1487F" w:rsidRPr="00FB666E" w:rsidRDefault="00A1487F">
      <w:pPr>
        <w:pStyle w:val="FootnoteText"/>
      </w:pPr>
      <w:r>
        <w:rPr>
          <w:rStyle w:val="FootnoteReference"/>
        </w:rPr>
        <w:footnoteRef/>
      </w:r>
      <w:r>
        <w:t xml:space="preserve"> Yi Shen Chan, Sam Wood, Stephen Adshed, </w:t>
      </w:r>
      <w:r>
        <w:rPr>
          <w:i/>
          <w:iCs/>
        </w:rPr>
        <w:t>Understanding Video-Sharing Platforms under UK Jurisdiction</w:t>
      </w:r>
      <w:r w:rsidR="00FB666E">
        <w:t xml:space="preserve"> (Department of Digital Culture Media and Sport, December 2019) 20 &lt;</w:t>
      </w:r>
      <w:r w:rsidR="00FB666E" w:rsidRPr="00FB666E">
        <w:t>https://assets.publishing.service.gov.uk/government/uploads/system/uploads/attachment_data/file/865313/Understanding_VSPs_under_UK_jurisdiction.pdf</w:t>
      </w:r>
      <w:r w:rsidR="00FB666E">
        <w:t>&gt; Accessed 30 April 2022.</w:t>
      </w:r>
    </w:p>
  </w:footnote>
  <w:footnote w:id="27">
    <w:p w14:paraId="5A4B0EDA" w14:textId="5CA8B8F8" w:rsidR="00D8097F" w:rsidRDefault="00D8097F" w:rsidP="00CA1BB1">
      <w:pPr>
        <w:pStyle w:val="FootnoteText"/>
      </w:pPr>
      <w:r>
        <w:rPr>
          <w:rStyle w:val="FootnoteReference"/>
        </w:rPr>
        <w:footnoteRef/>
      </w:r>
      <w:r>
        <w:t xml:space="preserve"> </w:t>
      </w:r>
      <w:r w:rsidR="00CA1BB1">
        <w:t>Communication from the Commission Guidelines on the practical application of the essential functionality criterion of the definition of a ‘video-sharing platform service’ under the Audiovisual Media Services Directive 2020/C 223/02 C/2020/4322 OJ C 22</w:t>
      </w:r>
    </w:p>
  </w:footnote>
  <w:footnote w:id="28">
    <w:p w14:paraId="6643A990" w14:textId="3D5ADA81" w:rsidR="009B2A0F" w:rsidRPr="00CA1BB1" w:rsidRDefault="009B2A0F">
      <w:pPr>
        <w:pStyle w:val="FootnoteText"/>
      </w:pPr>
      <w:r>
        <w:rPr>
          <w:rStyle w:val="FootnoteReference"/>
        </w:rPr>
        <w:footnoteRef/>
      </w:r>
      <w:r>
        <w:t xml:space="preserve"> </w:t>
      </w:r>
      <w:r w:rsidRPr="00CA1BB1">
        <w:t xml:space="preserve">Supra note </w:t>
      </w:r>
      <w:r w:rsidR="00D83B92" w:rsidRPr="00CA1BB1">
        <w:t>25</w:t>
      </w:r>
      <w:r w:rsidR="006D1086" w:rsidRPr="00CA1BB1">
        <w:t>.</w:t>
      </w:r>
    </w:p>
  </w:footnote>
  <w:footnote w:id="29">
    <w:p w14:paraId="476689B0" w14:textId="70FC395E" w:rsidR="009C7E6A" w:rsidRDefault="009C7E6A">
      <w:pPr>
        <w:pStyle w:val="FootnoteText"/>
      </w:pPr>
      <w:r w:rsidRPr="00CA1BB1">
        <w:rPr>
          <w:rStyle w:val="FootnoteReference"/>
        </w:rPr>
        <w:footnoteRef/>
      </w:r>
      <w:r w:rsidRPr="00CA1BB1">
        <w:t xml:space="preserve"> Supra note </w:t>
      </w:r>
      <w:r w:rsidR="00D83B92" w:rsidRPr="00CA1BB1">
        <w:t>19</w:t>
      </w:r>
      <w:r w:rsidR="00CA1BB1" w:rsidRPr="00CA1BB1">
        <w:t>, at 94.</w:t>
      </w:r>
    </w:p>
  </w:footnote>
  <w:footnote w:id="30">
    <w:p w14:paraId="4528C901" w14:textId="5FD758B7" w:rsidR="009C666F" w:rsidRDefault="009C666F">
      <w:pPr>
        <w:pStyle w:val="FootnoteText"/>
      </w:pPr>
      <w:r>
        <w:rPr>
          <w:rStyle w:val="FootnoteReference"/>
        </w:rPr>
        <w:footnoteRef/>
      </w:r>
      <w:r>
        <w:t xml:space="preserve"> </w:t>
      </w:r>
      <w:r w:rsidR="00CA1BB1">
        <w:t>Supra note 27.</w:t>
      </w:r>
    </w:p>
  </w:footnote>
  <w:footnote w:id="31">
    <w:p w14:paraId="32820FAF" w14:textId="67649BF3" w:rsidR="00DB7017" w:rsidRDefault="00DB7017">
      <w:pPr>
        <w:pStyle w:val="FootnoteText"/>
      </w:pPr>
      <w:r>
        <w:rPr>
          <w:rStyle w:val="FootnoteReference"/>
        </w:rPr>
        <w:footnoteRef/>
      </w:r>
      <w:r>
        <w:t xml:space="preserve"> </w:t>
      </w:r>
      <w:r w:rsidR="009C7E6A" w:rsidRPr="009C7E6A">
        <w:t>B</w:t>
      </w:r>
      <w:r w:rsidR="009C7E6A">
        <w:t>AI,</w:t>
      </w:r>
      <w:r w:rsidR="009C7E6A" w:rsidRPr="009C7E6A">
        <w:t xml:space="preserve"> Submission to the D</w:t>
      </w:r>
      <w:r w:rsidR="009C7E6A">
        <w:t>CCE -</w:t>
      </w:r>
      <w:r w:rsidR="009C7E6A" w:rsidRPr="009C7E6A">
        <w:t xml:space="preserve"> Public Consultation on the Regulation of Harmful Content on Online Platforms and the Implementation of the Revised Audiovisual Media Service Directive </w:t>
      </w:r>
      <w:r w:rsidR="009C7E6A">
        <w:t>&lt;</w:t>
      </w:r>
      <w:r w:rsidR="009C7E6A" w:rsidRPr="009C7E6A">
        <w:t>http://www.bai.ie/en/download/134036</w:t>
      </w:r>
      <w:r w:rsidR="009C7E6A">
        <w:t>&gt; Accessed 30 April 2022.</w:t>
      </w:r>
    </w:p>
  </w:footnote>
  <w:footnote w:id="32">
    <w:p w14:paraId="6AE5E967" w14:textId="41F17159" w:rsidR="00155569" w:rsidRDefault="00155569">
      <w:pPr>
        <w:pStyle w:val="FootnoteText"/>
      </w:pPr>
      <w:r>
        <w:rPr>
          <w:rStyle w:val="FootnoteReference"/>
        </w:rPr>
        <w:footnoteRef/>
      </w:r>
      <w:r>
        <w:t xml:space="preserve"> </w:t>
      </w:r>
      <w:r w:rsidR="00CA1BB1">
        <w:t>Supra note 20.</w:t>
      </w:r>
    </w:p>
  </w:footnote>
  <w:footnote w:id="33">
    <w:p w14:paraId="7E2F64B2" w14:textId="0615C5DD" w:rsidR="009B2A0F" w:rsidRDefault="009B2A0F" w:rsidP="009B2A0F">
      <w:pPr>
        <w:pStyle w:val="FootnoteText"/>
      </w:pPr>
      <w:r>
        <w:rPr>
          <w:rStyle w:val="FootnoteReference"/>
        </w:rPr>
        <w:footnoteRef/>
      </w:r>
      <w:r>
        <w:t xml:space="preserve"> </w:t>
      </w:r>
      <w:r w:rsidR="00CA1BB1">
        <w:t>AVMSD</w:t>
      </w:r>
      <w:r>
        <w:t>, Art28a (1)</w:t>
      </w:r>
    </w:p>
  </w:footnote>
  <w:footnote w:id="34">
    <w:p w14:paraId="7B36F83F" w14:textId="77777777" w:rsidR="009B2A0F" w:rsidRDefault="009B2A0F" w:rsidP="009B2A0F">
      <w:pPr>
        <w:pStyle w:val="FootnoteText"/>
      </w:pPr>
      <w:r>
        <w:rPr>
          <w:rStyle w:val="FootnoteReference"/>
        </w:rPr>
        <w:footnoteRef/>
      </w:r>
      <w:r>
        <w:t xml:space="preserve"> Ibid, Art28a (2).</w:t>
      </w:r>
    </w:p>
  </w:footnote>
  <w:footnote w:id="35">
    <w:p w14:paraId="06DE8532" w14:textId="18DDBCAA" w:rsidR="009B2A0F" w:rsidRDefault="009B2A0F" w:rsidP="009B2A0F">
      <w:pPr>
        <w:pStyle w:val="FootnoteText"/>
      </w:pPr>
      <w:r>
        <w:rPr>
          <w:rStyle w:val="FootnoteReference"/>
        </w:rPr>
        <w:footnoteRef/>
      </w:r>
      <w:r>
        <w:t xml:space="preserve"> </w:t>
      </w:r>
      <w:r w:rsidR="00607445">
        <w:t>ibid</w:t>
      </w:r>
      <w:r>
        <w:t>, Art 28a (6)</w:t>
      </w:r>
    </w:p>
  </w:footnote>
  <w:footnote w:id="36">
    <w:p w14:paraId="4CC28A9D" w14:textId="6E88F1B0" w:rsidR="006E6097" w:rsidRDefault="006E6097">
      <w:pPr>
        <w:pStyle w:val="FootnoteText"/>
      </w:pPr>
      <w:r>
        <w:rPr>
          <w:rStyle w:val="FootnoteReference"/>
        </w:rPr>
        <w:footnoteRef/>
      </w:r>
      <w:r>
        <w:t xml:space="preserve"> </w:t>
      </w:r>
      <w:r w:rsidR="00CA1BB1">
        <w:t>Ibid, Art 28b (1)(a).</w:t>
      </w:r>
    </w:p>
  </w:footnote>
  <w:footnote w:id="37">
    <w:p w14:paraId="36BBC8D5" w14:textId="2FD8C5FD" w:rsidR="006E6097" w:rsidRDefault="006E6097">
      <w:pPr>
        <w:pStyle w:val="FootnoteText"/>
      </w:pPr>
      <w:r>
        <w:rPr>
          <w:rStyle w:val="FootnoteReference"/>
        </w:rPr>
        <w:footnoteRef/>
      </w:r>
      <w:r>
        <w:t xml:space="preserve"> I</w:t>
      </w:r>
      <w:r w:rsidR="00CA1BB1">
        <w:t>bid, Art 28b (1)(b)</w:t>
      </w:r>
    </w:p>
  </w:footnote>
  <w:footnote w:id="38">
    <w:p w14:paraId="66875AD8" w14:textId="4C267E11" w:rsidR="006E6097" w:rsidRDefault="006E6097">
      <w:pPr>
        <w:pStyle w:val="FootnoteText"/>
      </w:pPr>
      <w:r>
        <w:rPr>
          <w:rStyle w:val="FootnoteReference"/>
        </w:rPr>
        <w:footnoteRef/>
      </w:r>
      <w:r>
        <w:t xml:space="preserve"> </w:t>
      </w:r>
      <w:r w:rsidR="00CA1BB1">
        <w:t>Ibid Art 28b (1)(c).</w:t>
      </w:r>
    </w:p>
  </w:footnote>
  <w:footnote w:id="39">
    <w:p w14:paraId="020E17E4" w14:textId="171D742A" w:rsidR="007A7755" w:rsidRDefault="007A7755">
      <w:pPr>
        <w:pStyle w:val="FootnoteText"/>
      </w:pPr>
      <w:r>
        <w:rPr>
          <w:rStyle w:val="FootnoteReference"/>
        </w:rPr>
        <w:footnoteRef/>
      </w:r>
      <w:r>
        <w:t xml:space="preserve"> </w:t>
      </w:r>
      <w:r w:rsidR="0000645C">
        <w:t>AVMSD, 28b(3)(a)</w:t>
      </w:r>
    </w:p>
  </w:footnote>
  <w:footnote w:id="40">
    <w:p w14:paraId="015A4AD3" w14:textId="3E0BF28E" w:rsidR="007A7755" w:rsidRPr="0000645C" w:rsidRDefault="007A7755">
      <w:pPr>
        <w:pStyle w:val="FootnoteText"/>
      </w:pPr>
      <w:r w:rsidRPr="0000645C">
        <w:rPr>
          <w:rStyle w:val="FootnoteReference"/>
        </w:rPr>
        <w:footnoteRef/>
      </w:r>
      <w:r w:rsidRPr="0000645C">
        <w:t xml:space="preserve"> </w:t>
      </w:r>
      <w:r w:rsidR="0000645C" w:rsidRPr="0000645C">
        <w:t>Ibid, 3(e).</w:t>
      </w:r>
    </w:p>
  </w:footnote>
  <w:footnote w:id="41">
    <w:p w14:paraId="0B2F3A8E" w14:textId="4B929874" w:rsidR="007A7755" w:rsidRPr="0000645C" w:rsidRDefault="007A7755">
      <w:pPr>
        <w:pStyle w:val="FootnoteText"/>
      </w:pPr>
      <w:r w:rsidRPr="0000645C">
        <w:rPr>
          <w:rStyle w:val="FootnoteReference"/>
        </w:rPr>
        <w:footnoteRef/>
      </w:r>
      <w:r w:rsidRPr="0000645C">
        <w:t xml:space="preserve"> </w:t>
      </w:r>
      <w:r w:rsidR="0000645C" w:rsidRPr="0000645C">
        <w:t>Ibid, 3(h).</w:t>
      </w:r>
    </w:p>
  </w:footnote>
  <w:footnote w:id="42">
    <w:p w14:paraId="1669A95A" w14:textId="51EF7E18" w:rsidR="007A7755" w:rsidRDefault="007A7755">
      <w:pPr>
        <w:pStyle w:val="FootnoteText"/>
      </w:pPr>
      <w:r w:rsidRPr="0000645C">
        <w:rPr>
          <w:rStyle w:val="FootnoteReference"/>
        </w:rPr>
        <w:footnoteRef/>
      </w:r>
      <w:r w:rsidRPr="0000645C">
        <w:t xml:space="preserve"> </w:t>
      </w:r>
      <w:r w:rsidR="0000645C" w:rsidRPr="0000645C">
        <w:t>Ibid, 3(j).</w:t>
      </w:r>
    </w:p>
  </w:footnote>
  <w:footnote w:id="43">
    <w:p w14:paraId="01AE8F12" w14:textId="005299CE" w:rsidR="0072417A" w:rsidRDefault="0072417A">
      <w:pPr>
        <w:pStyle w:val="FootnoteText"/>
      </w:pPr>
      <w:r>
        <w:rPr>
          <w:rStyle w:val="FootnoteReference"/>
        </w:rPr>
        <w:footnoteRef/>
      </w:r>
      <w:r>
        <w:t xml:space="preserve"> </w:t>
      </w:r>
      <w:r w:rsidRPr="00CA1BB1">
        <w:t>Supra note 1</w:t>
      </w:r>
      <w:r w:rsidR="00CA1BB1" w:rsidRPr="00CA1BB1">
        <w:t>9.</w:t>
      </w:r>
    </w:p>
  </w:footnote>
  <w:footnote w:id="44">
    <w:p w14:paraId="54577F76" w14:textId="30507962" w:rsidR="00A70674" w:rsidRPr="002E6AF0" w:rsidRDefault="00A70674">
      <w:pPr>
        <w:pStyle w:val="FootnoteText"/>
      </w:pPr>
      <w:r>
        <w:rPr>
          <w:rStyle w:val="FootnoteReference"/>
        </w:rPr>
        <w:footnoteRef/>
      </w:r>
      <w:r w:rsidRPr="002E6AF0">
        <w:t xml:space="preserve"> AVMS</w:t>
      </w:r>
      <w:r w:rsidR="0000645C" w:rsidRPr="002E6AF0">
        <w:t>D,</w:t>
      </w:r>
      <w:r w:rsidRPr="002E6AF0">
        <w:t xml:space="preserve"> A</w:t>
      </w:r>
      <w:r w:rsidR="00CA1BB1" w:rsidRPr="002E6AF0">
        <w:t>rt</w:t>
      </w:r>
      <w:r w:rsidRPr="002E6AF0">
        <w:t xml:space="preserve"> 9(1)</w:t>
      </w:r>
      <w:r w:rsidR="00CA1BB1" w:rsidRPr="002E6AF0">
        <w:t>.</w:t>
      </w:r>
    </w:p>
  </w:footnote>
  <w:footnote w:id="45">
    <w:p w14:paraId="4B781B12" w14:textId="00D35D27" w:rsidR="00A870E4" w:rsidRPr="0000645C" w:rsidRDefault="00A870E4" w:rsidP="00A870E4">
      <w:pPr>
        <w:pStyle w:val="FootnoteText"/>
      </w:pPr>
      <w:r>
        <w:rPr>
          <w:rStyle w:val="FootnoteReference"/>
        </w:rPr>
        <w:footnoteRef/>
      </w:r>
      <w:r w:rsidRPr="0000645C">
        <w:t xml:space="preserve"> </w:t>
      </w:r>
      <w:r w:rsidR="0000645C" w:rsidRPr="0000645C">
        <w:t>Greg Mason,</w:t>
      </w:r>
      <w:r w:rsidR="0000645C">
        <w:t xml:space="preserve"> ‘</w:t>
      </w:r>
      <w:r w:rsidR="0000645C" w:rsidRPr="0000645C">
        <w:t>The revised Audiovisual Media Services Directive 2018: to implement or not to implement?</w:t>
      </w:r>
      <w:r w:rsidR="0000645C">
        <w:t>’ (2019) 30(8) E.L.R 254, 259.</w:t>
      </w:r>
    </w:p>
  </w:footnote>
  <w:footnote w:id="46">
    <w:p w14:paraId="79427734" w14:textId="56731A6E" w:rsidR="00787BE5" w:rsidRPr="0000645C" w:rsidRDefault="00787BE5">
      <w:pPr>
        <w:pStyle w:val="FootnoteText"/>
      </w:pPr>
      <w:r>
        <w:rPr>
          <w:rStyle w:val="FootnoteReference"/>
        </w:rPr>
        <w:footnoteRef/>
      </w:r>
      <w:r w:rsidRPr="0000645C">
        <w:t xml:space="preserve"> </w:t>
      </w:r>
      <w:r w:rsidR="00CA1BB1" w:rsidRPr="0000645C">
        <w:t>AVMSD</w:t>
      </w:r>
      <w:r w:rsidRPr="0000645C">
        <w:t xml:space="preserve">, Art 28b (2). </w:t>
      </w:r>
    </w:p>
  </w:footnote>
  <w:footnote w:id="47">
    <w:p w14:paraId="299F22B0" w14:textId="5104FA35" w:rsidR="009F1FCF" w:rsidRDefault="009F1FCF">
      <w:pPr>
        <w:pStyle w:val="FootnoteText"/>
      </w:pPr>
      <w:r>
        <w:rPr>
          <w:rStyle w:val="FootnoteReference"/>
        </w:rPr>
        <w:footnoteRef/>
      </w:r>
      <w:r>
        <w:t xml:space="preserve"> </w:t>
      </w:r>
      <w:r w:rsidR="0000645C">
        <w:t>Supra note 19.</w:t>
      </w:r>
    </w:p>
  </w:footnote>
  <w:footnote w:id="48">
    <w:p w14:paraId="203FA5BE" w14:textId="69ECE4DA" w:rsidR="006114B7" w:rsidRDefault="006114B7">
      <w:pPr>
        <w:pStyle w:val="FootnoteText"/>
      </w:pPr>
      <w:r>
        <w:rPr>
          <w:rStyle w:val="FootnoteReference"/>
        </w:rPr>
        <w:footnoteRef/>
      </w:r>
      <w:r>
        <w:t xml:space="preserve"> Recital 14, 2010 AVMS</w:t>
      </w:r>
    </w:p>
  </w:footnote>
  <w:footnote w:id="49">
    <w:p w14:paraId="76498DFD" w14:textId="6DC8BF82" w:rsidR="00351421" w:rsidRDefault="00351421">
      <w:pPr>
        <w:pStyle w:val="FootnoteText"/>
      </w:pPr>
      <w:r>
        <w:rPr>
          <w:rStyle w:val="FootnoteReference"/>
        </w:rPr>
        <w:footnoteRef/>
      </w:r>
      <w:r>
        <w:t xml:space="preserve"> Alexandros Antoniou, ‘</w:t>
      </w:r>
      <w:r w:rsidRPr="00351421">
        <w:t>Advertising regulation and transparency in influencers' endorsements on social media</w:t>
      </w:r>
      <w:r>
        <w:t>’ (2021) 26(4) Communications Law 190, 191.</w:t>
      </w:r>
    </w:p>
  </w:footnote>
  <w:footnote w:id="50">
    <w:p w14:paraId="3342DAC3" w14:textId="70B87AE3" w:rsidR="00BF34D5" w:rsidRDefault="00BF34D5" w:rsidP="00BF34D5">
      <w:pPr>
        <w:pStyle w:val="FootnoteText"/>
      </w:pPr>
      <w:r>
        <w:rPr>
          <w:rStyle w:val="FootnoteReference"/>
        </w:rPr>
        <w:footnoteRef/>
      </w:r>
      <w:r>
        <w:t xml:space="preserve"> Andrea Giuffredi-Kähr, Alisa Petrova, Lucia Malär, ‘</w:t>
      </w:r>
      <w:r w:rsidRPr="00BF34D5">
        <w:t>Sponsorship Disclosure of Influencers – A Curse or a Blessing?</w:t>
      </w:r>
      <w:r>
        <w:t xml:space="preserve">’ (2022) </w:t>
      </w:r>
      <w:r w:rsidR="00692DF8">
        <w:t>57(1) Journal of Interactive Marketing 18, 19.</w:t>
      </w:r>
    </w:p>
  </w:footnote>
  <w:footnote w:id="51">
    <w:p w14:paraId="35A06712" w14:textId="2EAB6D4F" w:rsidR="009C1F4E" w:rsidRDefault="009C1F4E">
      <w:pPr>
        <w:pStyle w:val="FootnoteText"/>
      </w:pPr>
      <w:r>
        <w:rPr>
          <w:rStyle w:val="FootnoteReference"/>
        </w:rPr>
        <w:footnoteRef/>
      </w:r>
      <w:r>
        <w:t xml:space="preserve"> </w:t>
      </w:r>
      <w:r w:rsidR="007C7C55">
        <w:t>Madeline de Cock Buning, ‘Life after the European Audiovisual Media Services Directive: social media influencers through the looking-glass’ in Catalina Goanta and Sofia Ranchordás (eds) ‘</w:t>
      </w:r>
      <w:r w:rsidR="007C7C55">
        <w:rPr>
          <w:i/>
        </w:rPr>
        <w:t>The Regulation of Social Media Influencers</w:t>
      </w:r>
      <w:r w:rsidR="007C7C55">
        <w:t xml:space="preserve"> (1st edn, Edward Elgar Publishing 2020) 47, 49.</w:t>
      </w:r>
    </w:p>
  </w:footnote>
  <w:footnote w:id="52">
    <w:p w14:paraId="7D4F37EA" w14:textId="77777777" w:rsidR="002032B0" w:rsidRDefault="002032B0" w:rsidP="002032B0">
      <w:pPr>
        <w:pStyle w:val="FootnoteText"/>
      </w:pPr>
      <w:r>
        <w:rPr>
          <w:rStyle w:val="FootnoteReference"/>
        </w:rPr>
        <w:footnoteRef/>
      </w:r>
      <w:r>
        <w:t xml:space="preserve"> </w:t>
      </w:r>
      <w:r w:rsidRPr="009555BE">
        <w:t>Recital 3, AVMS</w:t>
      </w:r>
    </w:p>
  </w:footnote>
  <w:footnote w:id="53">
    <w:p w14:paraId="20AE4D38" w14:textId="44A0400C" w:rsidR="000D0199" w:rsidRDefault="000D0199">
      <w:pPr>
        <w:pStyle w:val="FootnoteText"/>
      </w:pPr>
      <w:r>
        <w:rPr>
          <w:rStyle w:val="FootnoteReference"/>
        </w:rPr>
        <w:footnoteRef/>
      </w:r>
      <w:r>
        <w:t xml:space="preserve"> ERGA, </w:t>
      </w:r>
      <w:r w:rsidRPr="00E33EAA">
        <w:rPr>
          <w:i/>
          <w:iCs/>
        </w:rPr>
        <w:t>Report: Analysis and recommendations concerning the regulation</w:t>
      </w:r>
      <w:r>
        <w:rPr>
          <w:i/>
          <w:iCs/>
        </w:rPr>
        <w:t xml:space="preserve"> </w:t>
      </w:r>
      <w:r w:rsidRPr="00E33EAA">
        <w:rPr>
          <w:i/>
          <w:iCs/>
        </w:rPr>
        <w:t>of vloggers</w:t>
      </w:r>
      <w:r>
        <w:t xml:space="preserve"> (ERGA, September 2020) 29 &lt;</w:t>
      </w:r>
      <w:r w:rsidRPr="00DD052C">
        <w:t xml:space="preserve"> https://erga-online.eu/wp-content/uploads/2021/12/ERGA-SG1-2021-Report-Vloggers.pdf </w:t>
      </w:r>
      <w:r>
        <w:t>&gt; Accessed 30 April 2022.</w:t>
      </w:r>
    </w:p>
  </w:footnote>
  <w:footnote w:id="54">
    <w:p w14:paraId="54FD95A3" w14:textId="78EB9121" w:rsidR="009C1F4E" w:rsidRDefault="009C1F4E">
      <w:pPr>
        <w:pStyle w:val="FootnoteText"/>
      </w:pPr>
      <w:r>
        <w:rPr>
          <w:rStyle w:val="FootnoteReference"/>
        </w:rPr>
        <w:footnoteRef/>
      </w:r>
      <w:r>
        <w:t xml:space="preserve"> </w:t>
      </w:r>
      <w:r w:rsidR="007C7C55">
        <w:t>Supra note 51</w:t>
      </w:r>
      <w:r>
        <w:t>, 61.</w:t>
      </w:r>
    </w:p>
  </w:footnote>
  <w:footnote w:id="55">
    <w:p w14:paraId="44049E04" w14:textId="44092B09" w:rsidR="009C1F4E" w:rsidRPr="007C7C55" w:rsidRDefault="009C1F4E">
      <w:pPr>
        <w:pStyle w:val="FootnoteText"/>
      </w:pPr>
      <w:r>
        <w:rPr>
          <w:rStyle w:val="FootnoteReference"/>
        </w:rPr>
        <w:footnoteRef/>
      </w:r>
      <w:r>
        <w:t xml:space="preserve"> </w:t>
      </w:r>
      <w:r w:rsidRPr="007C7C55">
        <w:t>Supra note 5</w:t>
      </w:r>
      <w:r w:rsidR="007C7C55" w:rsidRPr="007C7C55">
        <w:t>1</w:t>
      </w:r>
      <w:r w:rsidRPr="007C7C55">
        <w:t xml:space="preserve">, </w:t>
      </w:r>
      <w:r w:rsidR="007C7C55" w:rsidRPr="007C7C55">
        <w:t>53</w:t>
      </w:r>
      <w:r w:rsidRPr="007C7C55">
        <w:t>.</w:t>
      </w:r>
    </w:p>
  </w:footnote>
  <w:footnote w:id="56">
    <w:p w14:paraId="0F09ADCC" w14:textId="119B02C9" w:rsidR="00612A43" w:rsidRPr="007C7C55" w:rsidRDefault="00612A43">
      <w:pPr>
        <w:pStyle w:val="FootnoteText"/>
      </w:pPr>
      <w:r w:rsidRPr="007C7C55">
        <w:rPr>
          <w:rStyle w:val="FootnoteReference"/>
        </w:rPr>
        <w:footnoteRef/>
      </w:r>
      <w:r w:rsidRPr="007C7C55">
        <w:t xml:space="preserve"> </w:t>
      </w:r>
      <w:r w:rsidR="00CA1BB1" w:rsidRPr="007C7C55">
        <w:t>AVMSD</w:t>
      </w:r>
      <w:r w:rsidRPr="007C7C55">
        <w:t>, Art 28b (3)(b).</w:t>
      </w:r>
    </w:p>
  </w:footnote>
  <w:footnote w:id="57">
    <w:p w14:paraId="02BC8896" w14:textId="7799AB36" w:rsidR="007A6F12" w:rsidRPr="007C7C55" w:rsidRDefault="007A6F12">
      <w:pPr>
        <w:pStyle w:val="FootnoteText"/>
      </w:pPr>
      <w:r w:rsidRPr="007C7C55">
        <w:rPr>
          <w:rStyle w:val="FootnoteReference"/>
        </w:rPr>
        <w:footnoteRef/>
      </w:r>
      <w:r w:rsidRPr="007C7C55">
        <w:t xml:space="preserve"> </w:t>
      </w:r>
      <w:r w:rsidR="00CA1BB1" w:rsidRPr="007C7C55">
        <w:t>AVMSD</w:t>
      </w:r>
      <w:r w:rsidRPr="007C7C55">
        <w:t xml:space="preserve">, Art </w:t>
      </w:r>
      <w:r w:rsidR="00140322" w:rsidRPr="007C7C55">
        <w:t>28b(1)</w:t>
      </w:r>
      <w:r w:rsidRPr="007C7C55">
        <w:t>.</w:t>
      </w:r>
    </w:p>
  </w:footnote>
  <w:footnote w:id="58">
    <w:p w14:paraId="1D2CD950" w14:textId="11FA9D83" w:rsidR="001E0560" w:rsidRPr="007C7C55" w:rsidRDefault="001E0560" w:rsidP="001E0560">
      <w:pPr>
        <w:pStyle w:val="FootnoteText"/>
      </w:pPr>
      <w:r w:rsidRPr="007C7C55">
        <w:rPr>
          <w:rStyle w:val="FootnoteReference"/>
        </w:rPr>
        <w:footnoteRef/>
      </w:r>
      <w:r w:rsidRPr="007C7C55">
        <w:t xml:space="preserve"> Supra note </w:t>
      </w:r>
      <w:r w:rsidR="007C7C55" w:rsidRPr="007C7C55">
        <w:t>53.</w:t>
      </w:r>
    </w:p>
  </w:footnote>
  <w:footnote w:id="59">
    <w:p w14:paraId="251ABF49" w14:textId="5D4A39D1" w:rsidR="00243E52" w:rsidRPr="007C7C55" w:rsidRDefault="00243E52" w:rsidP="00243E52">
      <w:pPr>
        <w:pStyle w:val="FootnoteText"/>
      </w:pPr>
      <w:r w:rsidRPr="007C7C55">
        <w:rPr>
          <w:rStyle w:val="FootnoteReference"/>
        </w:rPr>
        <w:footnoteRef/>
      </w:r>
      <w:r w:rsidRPr="007C7C55">
        <w:t xml:space="preserve"> AVMS</w:t>
      </w:r>
      <w:r w:rsidR="007C7C55" w:rsidRPr="007C7C55">
        <w:t>D, Art 28b (5).</w:t>
      </w:r>
    </w:p>
  </w:footnote>
  <w:footnote w:id="60">
    <w:p w14:paraId="72788E00" w14:textId="360C0338" w:rsidR="00FF232A" w:rsidRDefault="00FF232A">
      <w:pPr>
        <w:pStyle w:val="FootnoteText"/>
      </w:pPr>
      <w:r w:rsidRPr="007C7C55">
        <w:rPr>
          <w:rStyle w:val="FootnoteReference"/>
        </w:rPr>
        <w:footnoteRef/>
      </w:r>
      <w:r w:rsidRPr="007C7C55">
        <w:t xml:space="preserve"> Supra note 5</w:t>
      </w:r>
      <w:r w:rsidR="007C7C55" w:rsidRPr="007C7C55">
        <w:t>1</w:t>
      </w:r>
      <w:r w:rsidRPr="007C7C55">
        <w:t>, 65.</w:t>
      </w:r>
    </w:p>
  </w:footnote>
  <w:footnote w:id="61">
    <w:p w14:paraId="143A95E9" w14:textId="4B38695E" w:rsidR="00FF232A" w:rsidRDefault="00FF232A">
      <w:pPr>
        <w:pStyle w:val="FootnoteText"/>
      </w:pPr>
      <w:r>
        <w:rPr>
          <w:rStyle w:val="FootnoteReference"/>
        </w:rPr>
        <w:footnoteRef/>
      </w:r>
      <w:r>
        <w:t xml:space="preserve"> </w:t>
      </w:r>
      <w:r w:rsidR="00E757FF">
        <w:t>Emma Llanso, ‘</w:t>
      </w:r>
      <w:r w:rsidR="00E757FF" w:rsidRPr="00E757FF">
        <w:t>No amount of “AI” in content moderation will solve filtering’s prior-restraint problem</w:t>
      </w:r>
      <w:r w:rsidR="00E757FF">
        <w:t>’ (2020) 7(1) Big Data and Society 34.</w:t>
      </w:r>
    </w:p>
  </w:footnote>
  <w:footnote w:id="62">
    <w:p w14:paraId="4A3E3654" w14:textId="48297A09" w:rsidR="00FF232A" w:rsidRDefault="00FF232A">
      <w:pPr>
        <w:pStyle w:val="FootnoteText"/>
      </w:pPr>
      <w:r>
        <w:rPr>
          <w:rStyle w:val="FootnoteReference"/>
        </w:rPr>
        <w:footnoteRef/>
      </w:r>
      <w:r w:rsidR="00E757FF">
        <w:t xml:space="preserve"> ibid.</w:t>
      </w:r>
    </w:p>
  </w:footnote>
  <w:footnote w:id="63">
    <w:p w14:paraId="47BC5AD8" w14:textId="31FD6765" w:rsidR="00E04386" w:rsidRDefault="00E04386">
      <w:pPr>
        <w:pStyle w:val="FootnoteText"/>
      </w:pPr>
      <w:r>
        <w:rPr>
          <w:rStyle w:val="FootnoteReference"/>
        </w:rPr>
        <w:footnoteRef/>
      </w:r>
      <w:r>
        <w:t xml:space="preserve"> </w:t>
      </w:r>
      <w:r w:rsidRPr="00E04386">
        <w:t>J</w:t>
      </w:r>
      <w:r>
        <w:t>ohn</w:t>
      </w:r>
      <w:r w:rsidRPr="00E04386">
        <w:t xml:space="preserve"> Schwartz, "Internet Filters Block Many Useful Sites, Study Finds'</w:t>
      </w:r>
      <w:r>
        <w:t xml:space="preserve"> </w:t>
      </w:r>
      <w:r w:rsidRPr="00E04386">
        <w:t xml:space="preserve">The New York Times </w:t>
      </w:r>
      <w:r>
        <w:t>(20</w:t>
      </w:r>
      <w:r w:rsidR="00243E52">
        <w:t>02</w:t>
      </w:r>
      <w:r>
        <w:t xml:space="preserve">) </w:t>
      </w:r>
      <w:r w:rsidRPr="00E04386">
        <w:t xml:space="preserve">&lt;https://www.nytimes.com/2002/12/11/us/internet-filters-block-many-useful-sites-study-finds.html&gt; accessed </w:t>
      </w:r>
      <w:r>
        <w:t>28 April 2022</w:t>
      </w:r>
      <w:r w:rsidRPr="00E04386">
        <w:t>.</w:t>
      </w:r>
    </w:p>
  </w:footnote>
  <w:footnote w:id="64">
    <w:p w14:paraId="201ED369" w14:textId="615EEBB3" w:rsidR="003A7256" w:rsidRPr="003A7256" w:rsidRDefault="003A7256">
      <w:pPr>
        <w:pStyle w:val="FootnoteText"/>
      </w:pPr>
      <w:r w:rsidRPr="003A7256">
        <w:rPr>
          <w:rStyle w:val="FootnoteReference"/>
        </w:rPr>
        <w:footnoteRef/>
      </w:r>
      <w:r w:rsidRPr="003A7256">
        <w:t xml:space="preserve"> Supra note 51.</w:t>
      </w:r>
    </w:p>
  </w:footnote>
  <w:footnote w:id="65">
    <w:p w14:paraId="49E829B2" w14:textId="59E97574" w:rsidR="001E0560" w:rsidRPr="003A7256" w:rsidRDefault="001E0560" w:rsidP="001E0560">
      <w:pPr>
        <w:pStyle w:val="FootnoteText"/>
      </w:pPr>
      <w:r w:rsidRPr="003A7256">
        <w:rPr>
          <w:rStyle w:val="FootnoteReference"/>
        </w:rPr>
        <w:footnoteRef/>
      </w:r>
      <w:r w:rsidRPr="003A7256">
        <w:t xml:space="preserve"> </w:t>
      </w:r>
      <w:r w:rsidR="003A7256" w:rsidRPr="003A7256">
        <w:t>Supra note 20, Art 17(9).</w:t>
      </w:r>
    </w:p>
  </w:footnote>
  <w:footnote w:id="66">
    <w:p w14:paraId="6A9463C8" w14:textId="15B79CE5" w:rsidR="001E0560" w:rsidRPr="003A7256" w:rsidRDefault="001E0560" w:rsidP="003A7256">
      <w:pPr>
        <w:pStyle w:val="FootnoteText"/>
      </w:pPr>
      <w:r w:rsidRPr="003A7256">
        <w:rPr>
          <w:rStyle w:val="FootnoteReference"/>
        </w:rPr>
        <w:footnoteRef/>
      </w:r>
      <w:r w:rsidR="003A7256" w:rsidRPr="003A7256">
        <w:t>Proposal for a REGULATION OF THE EUROPEAN PARLIAMENT AND OF THE COUNCIL on a Single Market For Digital Services (Digital Services Act) and amending Directive 2000/31/EC COM/2020/825 final.</w:t>
      </w:r>
    </w:p>
  </w:footnote>
  <w:footnote w:id="67">
    <w:p w14:paraId="512F2FF1" w14:textId="28793FB6" w:rsidR="0055760B" w:rsidRDefault="0055760B">
      <w:pPr>
        <w:pStyle w:val="FootnoteText"/>
      </w:pPr>
      <w:r w:rsidRPr="003A7256">
        <w:rPr>
          <w:rStyle w:val="FootnoteReference"/>
        </w:rPr>
        <w:footnoteRef/>
      </w:r>
      <w:r w:rsidRPr="003A7256">
        <w:t xml:space="preserve"> Supra note </w:t>
      </w:r>
      <w:r w:rsidR="007C7C55" w:rsidRPr="003A7256">
        <w:t>53.</w:t>
      </w:r>
    </w:p>
  </w:footnote>
  <w:footnote w:id="68">
    <w:p w14:paraId="7968C6C8" w14:textId="4A878577" w:rsidR="00AF56BF" w:rsidRPr="003A7256" w:rsidRDefault="00AF56BF">
      <w:pPr>
        <w:pStyle w:val="FootnoteText"/>
      </w:pPr>
      <w:r w:rsidRPr="000E2B95">
        <w:rPr>
          <w:rStyle w:val="FootnoteReference"/>
        </w:rPr>
        <w:footnoteRef/>
      </w:r>
      <w:r w:rsidRPr="000E2B95">
        <w:t xml:space="preserve"> S</w:t>
      </w:r>
      <w:r w:rsidR="003A7256" w:rsidRPr="000E2B95">
        <w:t>upra</w:t>
      </w:r>
      <w:r w:rsidR="003A7256">
        <w:t xml:space="preserve"> note 19.</w:t>
      </w:r>
    </w:p>
  </w:footnote>
  <w:footnote w:id="69">
    <w:p w14:paraId="393240BA" w14:textId="252D64B3" w:rsidR="004F4E20" w:rsidRPr="003A7256" w:rsidRDefault="004F4E20">
      <w:pPr>
        <w:pStyle w:val="FootnoteText"/>
      </w:pPr>
      <w:r>
        <w:rPr>
          <w:rStyle w:val="FootnoteReference"/>
        </w:rPr>
        <w:footnoteRef/>
      </w:r>
      <w:r w:rsidRPr="003A7256">
        <w:t xml:space="preserve"> </w:t>
      </w:r>
      <w:r w:rsidR="003A7256" w:rsidRPr="003A7256">
        <w:t>Zsuzsa Detrekoi</w:t>
      </w:r>
      <w:r w:rsidR="003A7256">
        <w:t>, ‘</w:t>
      </w:r>
      <w:r w:rsidR="003A7256" w:rsidRPr="003A7256">
        <w:t>Practical problems of implementing the new AVMSD provisions on video-sharing platforms</w:t>
      </w:r>
      <w:r w:rsidR="003A7256">
        <w:t>’</w:t>
      </w:r>
      <w:r w:rsidR="007300E6">
        <w:t xml:space="preserve"> </w:t>
      </w:r>
      <w:r w:rsidR="003A7256">
        <w:t xml:space="preserve">(2021) 26(3) Communications Law </w:t>
      </w:r>
      <w:r w:rsidR="007300E6">
        <w:t>149, 154.</w:t>
      </w:r>
    </w:p>
  </w:footnote>
  <w:footnote w:id="70">
    <w:p w14:paraId="03631B7D" w14:textId="514D3C0D" w:rsidR="00BB0B11" w:rsidRPr="003A7256" w:rsidRDefault="00BB0B11">
      <w:pPr>
        <w:pStyle w:val="FootnoteText"/>
      </w:pPr>
      <w:r>
        <w:rPr>
          <w:rStyle w:val="FootnoteReference"/>
        </w:rPr>
        <w:footnoteRef/>
      </w:r>
      <w:r w:rsidRPr="003A7256">
        <w:t xml:space="preserve"> </w:t>
      </w:r>
      <w:r w:rsidR="007300E6">
        <w:t>Supra note 18.</w:t>
      </w:r>
    </w:p>
  </w:footnote>
  <w:footnote w:id="71">
    <w:p w14:paraId="70151AD1" w14:textId="4091BA12" w:rsidR="002C7A05" w:rsidRPr="002C7A05" w:rsidRDefault="002C7A05">
      <w:pPr>
        <w:pStyle w:val="FootnoteText"/>
        <w:rPr>
          <w:highlight w:val="yellow"/>
        </w:rPr>
      </w:pPr>
      <w:r>
        <w:rPr>
          <w:rStyle w:val="FootnoteReference"/>
        </w:rPr>
        <w:footnoteRef/>
      </w:r>
      <w:r>
        <w:t xml:space="preserve"> </w:t>
      </w:r>
      <w:r w:rsidR="000E2B95">
        <w:t>Online Safety and Media Regulation Bill 2020, s7.</w:t>
      </w:r>
    </w:p>
  </w:footnote>
  <w:footnote w:id="72">
    <w:p w14:paraId="71673F8E" w14:textId="4110F198" w:rsidR="00743C41" w:rsidRPr="000E2B95" w:rsidRDefault="00743C41">
      <w:pPr>
        <w:pStyle w:val="FootnoteText"/>
      </w:pPr>
      <w:r w:rsidRPr="000E2B95">
        <w:rPr>
          <w:rStyle w:val="FootnoteReference"/>
        </w:rPr>
        <w:footnoteRef/>
      </w:r>
      <w:r w:rsidRPr="000E2B95">
        <w:t xml:space="preserve"> </w:t>
      </w:r>
      <w:r w:rsidR="007300E6" w:rsidRPr="000E2B95">
        <w:t xml:space="preserve">Jenny Darmody ‘Why is Ireland’s Data Protection Commission under fire?’ </w:t>
      </w:r>
      <w:r w:rsidR="007300E6" w:rsidRPr="000E2B95">
        <w:rPr>
          <w:i/>
          <w:iCs/>
        </w:rPr>
        <w:t>SiliconRepublic</w:t>
      </w:r>
      <w:r w:rsidR="007300E6" w:rsidRPr="000E2B95">
        <w:t xml:space="preserve"> (28 April 2021) &lt; https://www.siliconrepublic.com/enterprise/dpc-data-protection-gdpr-helen-dixon&gt; Accessed 1 May 2022.</w:t>
      </w:r>
    </w:p>
  </w:footnote>
  <w:footnote w:id="73">
    <w:p w14:paraId="7C36462F" w14:textId="4B4D10E5" w:rsidR="002C7A05" w:rsidRPr="000E2B95" w:rsidRDefault="002C7A05">
      <w:pPr>
        <w:pStyle w:val="FootnoteText"/>
      </w:pPr>
      <w:r w:rsidRPr="000E2B95">
        <w:rPr>
          <w:rStyle w:val="FootnoteReference"/>
        </w:rPr>
        <w:footnoteRef/>
      </w:r>
      <w:r w:rsidRPr="000E2B95">
        <w:t xml:space="preserve"> </w:t>
      </w:r>
      <w:r w:rsidR="007300E6" w:rsidRPr="000E2B95">
        <w:t>Supra note 67.</w:t>
      </w:r>
    </w:p>
  </w:footnote>
  <w:footnote w:id="74">
    <w:p w14:paraId="6CBFF871" w14:textId="1C75E313" w:rsidR="004F3C80" w:rsidRDefault="004F3C80">
      <w:pPr>
        <w:pStyle w:val="FootnoteText"/>
      </w:pPr>
      <w:r w:rsidRPr="000E2B95">
        <w:rPr>
          <w:rStyle w:val="FootnoteReference"/>
        </w:rPr>
        <w:footnoteRef/>
      </w:r>
      <w:r w:rsidRPr="000E2B95">
        <w:t xml:space="preserve"> </w:t>
      </w:r>
      <w:r w:rsidR="000E2B95" w:rsidRPr="000E2B95">
        <w:t>Ibid, Article 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719AE" w14:textId="1ABACF5B" w:rsidR="00760BB1" w:rsidRPr="00760BB1" w:rsidRDefault="00760BB1" w:rsidP="00760BB1">
    <w:pPr>
      <w:pStyle w:val="Header"/>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3E7583"/>
    <w:multiLevelType w:val="hybridMultilevel"/>
    <w:tmpl w:val="C53AC5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006984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81B"/>
    <w:rsid w:val="0000645C"/>
    <w:rsid w:val="00044226"/>
    <w:rsid w:val="0006281B"/>
    <w:rsid w:val="00070E8B"/>
    <w:rsid w:val="00093E9C"/>
    <w:rsid w:val="000D0199"/>
    <w:rsid w:val="000E2B95"/>
    <w:rsid w:val="000E4EDD"/>
    <w:rsid w:val="000E6219"/>
    <w:rsid w:val="000F21FF"/>
    <w:rsid w:val="000F50E2"/>
    <w:rsid w:val="00130540"/>
    <w:rsid w:val="001339C0"/>
    <w:rsid w:val="00140322"/>
    <w:rsid w:val="00155569"/>
    <w:rsid w:val="00156F9D"/>
    <w:rsid w:val="001704AA"/>
    <w:rsid w:val="00172474"/>
    <w:rsid w:val="001A2300"/>
    <w:rsid w:val="001A645D"/>
    <w:rsid w:val="001D616E"/>
    <w:rsid w:val="001E0560"/>
    <w:rsid w:val="001F5A9E"/>
    <w:rsid w:val="002032B0"/>
    <w:rsid w:val="002229A5"/>
    <w:rsid w:val="00243E52"/>
    <w:rsid w:val="002C7A05"/>
    <w:rsid w:val="002E6AF0"/>
    <w:rsid w:val="002F42A2"/>
    <w:rsid w:val="003008C5"/>
    <w:rsid w:val="00303C88"/>
    <w:rsid w:val="00334675"/>
    <w:rsid w:val="003411F0"/>
    <w:rsid w:val="003448F7"/>
    <w:rsid w:val="00351421"/>
    <w:rsid w:val="00363870"/>
    <w:rsid w:val="00382BDD"/>
    <w:rsid w:val="00391E39"/>
    <w:rsid w:val="003A7256"/>
    <w:rsid w:val="00426E60"/>
    <w:rsid w:val="004326A4"/>
    <w:rsid w:val="00432DC0"/>
    <w:rsid w:val="00433162"/>
    <w:rsid w:val="00446F81"/>
    <w:rsid w:val="00453D98"/>
    <w:rsid w:val="00455883"/>
    <w:rsid w:val="004769C3"/>
    <w:rsid w:val="00486678"/>
    <w:rsid w:val="00494EE0"/>
    <w:rsid w:val="004B2BC4"/>
    <w:rsid w:val="004F02DD"/>
    <w:rsid w:val="004F3C80"/>
    <w:rsid w:val="004F47E6"/>
    <w:rsid w:val="004F4E20"/>
    <w:rsid w:val="00512C5F"/>
    <w:rsid w:val="00524874"/>
    <w:rsid w:val="00525780"/>
    <w:rsid w:val="00527257"/>
    <w:rsid w:val="0055760B"/>
    <w:rsid w:val="0057563B"/>
    <w:rsid w:val="005B5668"/>
    <w:rsid w:val="005B63EB"/>
    <w:rsid w:val="005D04DA"/>
    <w:rsid w:val="005D214A"/>
    <w:rsid w:val="005D474F"/>
    <w:rsid w:val="005F287A"/>
    <w:rsid w:val="005F6CEF"/>
    <w:rsid w:val="00607445"/>
    <w:rsid w:val="006114B7"/>
    <w:rsid w:val="00612A43"/>
    <w:rsid w:val="0063766F"/>
    <w:rsid w:val="00655B2A"/>
    <w:rsid w:val="006842DA"/>
    <w:rsid w:val="00692DF8"/>
    <w:rsid w:val="006A342A"/>
    <w:rsid w:val="006C527B"/>
    <w:rsid w:val="006D1086"/>
    <w:rsid w:val="006E6097"/>
    <w:rsid w:val="006E771A"/>
    <w:rsid w:val="00701AE1"/>
    <w:rsid w:val="00702EB8"/>
    <w:rsid w:val="0072417A"/>
    <w:rsid w:val="00725E6C"/>
    <w:rsid w:val="007300E6"/>
    <w:rsid w:val="00743C41"/>
    <w:rsid w:val="00750EEA"/>
    <w:rsid w:val="00751515"/>
    <w:rsid w:val="0075356E"/>
    <w:rsid w:val="00760BB1"/>
    <w:rsid w:val="00781C90"/>
    <w:rsid w:val="00786E9D"/>
    <w:rsid w:val="00787BE5"/>
    <w:rsid w:val="00796B4F"/>
    <w:rsid w:val="007A01FC"/>
    <w:rsid w:val="007A6F12"/>
    <w:rsid w:val="007A7755"/>
    <w:rsid w:val="007B3EBF"/>
    <w:rsid w:val="007C6AFB"/>
    <w:rsid w:val="007C7C55"/>
    <w:rsid w:val="007D1E00"/>
    <w:rsid w:val="007D3E26"/>
    <w:rsid w:val="007D724C"/>
    <w:rsid w:val="00804D9C"/>
    <w:rsid w:val="00830959"/>
    <w:rsid w:val="00834256"/>
    <w:rsid w:val="0083783E"/>
    <w:rsid w:val="0084175D"/>
    <w:rsid w:val="00851232"/>
    <w:rsid w:val="0089769F"/>
    <w:rsid w:val="008A42CF"/>
    <w:rsid w:val="008A5113"/>
    <w:rsid w:val="008C7ABE"/>
    <w:rsid w:val="00912D26"/>
    <w:rsid w:val="00920A23"/>
    <w:rsid w:val="009843AC"/>
    <w:rsid w:val="009A776D"/>
    <w:rsid w:val="009B2A0F"/>
    <w:rsid w:val="009C1F4E"/>
    <w:rsid w:val="009C459F"/>
    <w:rsid w:val="009C666F"/>
    <w:rsid w:val="009C7E6A"/>
    <w:rsid w:val="009E2768"/>
    <w:rsid w:val="009F04A1"/>
    <w:rsid w:val="009F0A6E"/>
    <w:rsid w:val="009F1FCF"/>
    <w:rsid w:val="00A001EF"/>
    <w:rsid w:val="00A1487F"/>
    <w:rsid w:val="00A35019"/>
    <w:rsid w:val="00A47EE1"/>
    <w:rsid w:val="00A50780"/>
    <w:rsid w:val="00A70674"/>
    <w:rsid w:val="00A870E4"/>
    <w:rsid w:val="00A91510"/>
    <w:rsid w:val="00AB49EE"/>
    <w:rsid w:val="00AC6C25"/>
    <w:rsid w:val="00AD4861"/>
    <w:rsid w:val="00AE3B6B"/>
    <w:rsid w:val="00AF56BF"/>
    <w:rsid w:val="00B40C38"/>
    <w:rsid w:val="00B47CF8"/>
    <w:rsid w:val="00B522DB"/>
    <w:rsid w:val="00B542BA"/>
    <w:rsid w:val="00B55547"/>
    <w:rsid w:val="00B64691"/>
    <w:rsid w:val="00B662CD"/>
    <w:rsid w:val="00B75EB4"/>
    <w:rsid w:val="00B80C6C"/>
    <w:rsid w:val="00B83905"/>
    <w:rsid w:val="00B94063"/>
    <w:rsid w:val="00BA7873"/>
    <w:rsid w:val="00BB0B11"/>
    <w:rsid w:val="00BC10A5"/>
    <w:rsid w:val="00BD59A0"/>
    <w:rsid w:val="00BE0992"/>
    <w:rsid w:val="00BF34D5"/>
    <w:rsid w:val="00C021E2"/>
    <w:rsid w:val="00C239FB"/>
    <w:rsid w:val="00C3319A"/>
    <w:rsid w:val="00C33725"/>
    <w:rsid w:val="00C364E2"/>
    <w:rsid w:val="00C52D91"/>
    <w:rsid w:val="00C63C80"/>
    <w:rsid w:val="00C70689"/>
    <w:rsid w:val="00CA1BB1"/>
    <w:rsid w:val="00CA45A7"/>
    <w:rsid w:val="00CD5B50"/>
    <w:rsid w:val="00D14120"/>
    <w:rsid w:val="00D26462"/>
    <w:rsid w:val="00D35739"/>
    <w:rsid w:val="00D415DE"/>
    <w:rsid w:val="00D421BE"/>
    <w:rsid w:val="00D5632F"/>
    <w:rsid w:val="00D720B4"/>
    <w:rsid w:val="00D73284"/>
    <w:rsid w:val="00D8097F"/>
    <w:rsid w:val="00D80AE5"/>
    <w:rsid w:val="00D83B92"/>
    <w:rsid w:val="00DB7017"/>
    <w:rsid w:val="00DC339D"/>
    <w:rsid w:val="00DC71B8"/>
    <w:rsid w:val="00DD052C"/>
    <w:rsid w:val="00DD2F2E"/>
    <w:rsid w:val="00DF329C"/>
    <w:rsid w:val="00E04386"/>
    <w:rsid w:val="00E1427E"/>
    <w:rsid w:val="00E33EAA"/>
    <w:rsid w:val="00E71F00"/>
    <w:rsid w:val="00E757FF"/>
    <w:rsid w:val="00ED57E0"/>
    <w:rsid w:val="00F007AB"/>
    <w:rsid w:val="00F245FE"/>
    <w:rsid w:val="00F36070"/>
    <w:rsid w:val="00F753CC"/>
    <w:rsid w:val="00F8516E"/>
    <w:rsid w:val="00F87098"/>
    <w:rsid w:val="00FA7858"/>
    <w:rsid w:val="00FB666E"/>
    <w:rsid w:val="00FF23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92C48"/>
  <w15:chartTrackingRefBased/>
  <w15:docId w15:val="{315D65E8-1136-460A-BC18-BBC38CFD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3766F"/>
    <w:pPr>
      <w:spacing w:after="0" w:line="240" w:lineRule="auto"/>
    </w:pPr>
  </w:style>
  <w:style w:type="character" w:customStyle="1" w:styleId="FootnoteTextChar">
    <w:name w:val="Footnote Text Char"/>
    <w:basedOn w:val="DefaultParagraphFont"/>
    <w:link w:val="FootnoteText"/>
    <w:uiPriority w:val="99"/>
    <w:semiHidden/>
    <w:rsid w:val="0063766F"/>
  </w:style>
  <w:style w:type="character" w:styleId="FootnoteReference">
    <w:name w:val="footnote reference"/>
    <w:basedOn w:val="DefaultParagraphFont"/>
    <w:uiPriority w:val="99"/>
    <w:semiHidden/>
    <w:unhideWhenUsed/>
    <w:rsid w:val="0063766F"/>
    <w:rPr>
      <w:vertAlign w:val="superscript"/>
    </w:rPr>
  </w:style>
  <w:style w:type="character" w:styleId="Hyperlink">
    <w:name w:val="Hyperlink"/>
    <w:basedOn w:val="DefaultParagraphFont"/>
    <w:uiPriority w:val="99"/>
    <w:unhideWhenUsed/>
    <w:rsid w:val="00B94063"/>
    <w:rPr>
      <w:color w:val="0563C1" w:themeColor="hyperlink"/>
      <w:u w:val="single"/>
    </w:rPr>
  </w:style>
  <w:style w:type="character" w:styleId="UnresolvedMention">
    <w:name w:val="Unresolved Mention"/>
    <w:basedOn w:val="DefaultParagraphFont"/>
    <w:uiPriority w:val="99"/>
    <w:semiHidden/>
    <w:unhideWhenUsed/>
    <w:rsid w:val="00B94063"/>
    <w:rPr>
      <w:color w:val="605E5C"/>
      <w:shd w:val="clear" w:color="auto" w:fill="E1DFDD"/>
    </w:rPr>
  </w:style>
  <w:style w:type="paragraph" w:styleId="ListParagraph">
    <w:name w:val="List Paragraph"/>
    <w:basedOn w:val="Normal"/>
    <w:uiPriority w:val="34"/>
    <w:qFormat/>
    <w:rsid w:val="002E6AF0"/>
    <w:pPr>
      <w:ind w:left="720"/>
      <w:contextualSpacing/>
    </w:pPr>
  </w:style>
  <w:style w:type="paragraph" w:styleId="Header">
    <w:name w:val="header"/>
    <w:basedOn w:val="Normal"/>
    <w:link w:val="HeaderChar"/>
    <w:uiPriority w:val="99"/>
    <w:unhideWhenUsed/>
    <w:rsid w:val="00760B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0BB1"/>
  </w:style>
  <w:style w:type="paragraph" w:styleId="Footer">
    <w:name w:val="footer"/>
    <w:basedOn w:val="Normal"/>
    <w:link w:val="FooterChar"/>
    <w:uiPriority w:val="99"/>
    <w:unhideWhenUsed/>
    <w:rsid w:val="00760B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0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ad" TargetMode="External"/><Relationship Id="rId3" Type="http://schemas.openxmlformats.org/officeDocument/2006/relationships/settings" Target="settings.xml"/><Relationship Id="rId7" Type="http://schemas.openxmlformats.org/officeDocument/2006/relationships/hyperlink" Target="https://erg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5409</Words>
  <Characters>30835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MOONEY</dc:creator>
  <cp:keywords/>
  <dc:description/>
  <cp:lastModifiedBy>Jill Caulfield</cp:lastModifiedBy>
  <cp:revision>2</cp:revision>
  <dcterms:created xsi:type="dcterms:W3CDTF">2022-07-20T10:27:00Z</dcterms:created>
  <dcterms:modified xsi:type="dcterms:W3CDTF">2022-07-20T10:27:00Z</dcterms:modified>
</cp:coreProperties>
</file>